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C66C75" w:rsidRDefault="00C6368B" w:rsidP="00FF046F">
      <w:pPr>
        <w:pStyle w:val="Geenafstand"/>
        <w:rPr>
          <w:rFonts w:cstheme="minorHAnsi"/>
          <w:lang w:val="nl-NL"/>
        </w:rPr>
      </w:pPr>
      <w:r w:rsidRPr="00C66C75">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1514475</wp:posOffset>
                </wp:positionV>
                <wp:extent cx="6400800" cy="59817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98170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D93941" w:rsidRPr="00D93941">
                              <w:rPr>
                                <w:rFonts w:asciiTheme="majorHAnsi" w:hAnsiTheme="majorHAnsi" w:cstheme="majorHAnsi"/>
                                <w:lang w:val="nl-NL"/>
                              </w:rPr>
                              <w:t>2060 – Rapportering aan het senior management en het bestuur</w:t>
                            </w:r>
                          </w:p>
                          <w:p w:rsidR="00D93941" w:rsidRPr="00C66C75" w:rsidRDefault="00D93941" w:rsidP="00D93941">
                            <w:pPr>
                              <w:pStyle w:val="RedBullets"/>
                              <w:numPr>
                                <w:ilvl w:val="0"/>
                                <w:numId w:val="0"/>
                              </w:numPr>
                              <w:rPr>
                                <w:rFonts w:asciiTheme="majorHAnsi" w:hAnsiTheme="majorHAnsi" w:cstheme="majorHAnsi"/>
                                <w:sz w:val="22"/>
                                <w:szCs w:val="22"/>
                                <w:lang w:val="nl-NL"/>
                              </w:rPr>
                            </w:pPr>
                            <w:r w:rsidRPr="00C66C75">
                              <w:rPr>
                                <w:rFonts w:asciiTheme="majorHAnsi" w:hAnsiTheme="majorHAnsi" w:cstheme="majorHAnsi"/>
                                <w:sz w:val="22"/>
                                <w:szCs w:val="22"/>
                                <w:lang w:val="nl-NL"/>
                              </w:rPr>
                              <w:t>Het hoofd van de internal-auditfunctie moet periodiek rapporteren aan het senior management en het bestuur over het doel, de bevoegdheden en de verantwoordelijkheden van de internal-auditfunctie, evenals over de prestaties in het licht van het plan en de naleving van de gedragscode en de standaarden. De rapportering dient tevens de belangrijke risico's en controlekwesties te bevatten, inclusief frauderisico's, bestuursaangelegenheden en overige zaken die de aandacht vragen van het senior management en/of het bestuur.</w:t>
                            </w:r>
                          </w:p>
                          <w:p w:rsidR="00D93941" w:rsidRPr="00C66C75" w:rsidRDefault="00D93941" w:rsidP="00D93941">
                            <w:pPr>
                              <w:pStyle w:val="RedBullets"/>
                              <w:numPr>
                                <w:ilvl w:val="0"/>
                                <w:numId w:val="0"/>
                              </w:numPr>
                              <w:rPr>
                                <w:rFonts w:asciiTheme="majorHAnsi" w:hAnsiTheme="majorHAnsi" w:cstheme="majorHAnsi"/>
                                <w:sz w:val="22"/>
                                <w:szCs w:val="22"/>
                                <w:lang w:val="nl-NL"/>
                              </w:rPr>
                            </w:pPr>
                          </w:p>
                          <w:p w:rsidR="00D93941" w:rsidRDefault="00D93941" w:rsidP="00D93941">
                            <w:pPr>
                              <w:pStyle w:val="RedBullets"/>
                              <w:numPr>
                                <w:ilvl w:val="0"/>
                                <w:numId w:val="0"/>
                              </w:numPr>
                              <w:rPr>
                                <w:rFonts w:asciiTheme="majorHAnsi" w:hAnsiTheme="majorHAnsi" w:cstheme="majorHAnsi"/>
                                <w:b/>
                                <w:sz w:val="22"/>
                                <w:szCs w:val="22"/>
                                <w:lang w:val="nl-NL"/>
                              </w:rPr>
                            </w:pPr>
                            <w:r w:rsidRPr="00C66C75">
                              <w:rPr>
                                <w:rFonts w:asciiTheme="majorHAnsi" w:hAnsiTheme="majorHAnsi" w:cstheme="majorHAnsi"/>
                                <w:b/>
                                <w:sz w:val="22"/>
                                <w:szCs w:val="22"/>
                                <w:lang w:val="nl-NL"/>
                              </w:rPr>
                              <w:t>Interpretatie:</w:t>
                            </w:r>
                          </w:p>
                          <w:p w:rsidR="00C66C75" w:rsidRPr="00C66C75" w:rsidRDefault="00C66C75" w:rsidP="00D93941">
                            <w:pPr>
                              <w:pStyle w:val="RedBullets"/>
                              <w:numPr>
                                <w:ilvl w:val="0"/>
                                <w:numId w:val="0"/>
                              </w:numPr>
                              <w:rPr>
                                <w:rFonts w:asciiTheme="majorHAnsi" w:hAnsiTheme="majorHAnsi" w:cstheme="majorHAnsi"/>
                                <w:b/>
                                <w:sz w:val="22"/>
                                <w:szCs w:val="22"/>
                                <w:lang w:val="nl-NL"/>
                              </w:rPr>
                            </w:pPr>
                          </w:p>
                          <w:p w:rsidR="00D93941" w:rsidRPr="00C66C75" w:rsidRDefault="00D93941" w:rsidP="00D93941">
                            <w:pPr>
                              <w:pStyle w:val="RedBullets"/>
                              <w:numPr>
                                <w:ilvl w:val="0"/>
                                <w:numId w:val="0"/>
                              </w:numPr>
                              <w:rPr>
                                <w:rFonts w:asciiTheme="majorHAnsi" w:hAnsiTheme="majorHAnsi" w:cstheme="majorHAnsi"/>
                                <w:i/>
                                <w:sz w:val="22"/>
                                <w:szCs w:val="22"/>
                                <w:lang w:val="nl-NL"/>
                              </w:rPr>
                            </w:pPr>
                            <w:r w:rsidRPr="00C66C75">
                              <w:rPr>
                                <w:rFonts w:asciiTheme="majorHAnsi" w:hAnsiTheme="majorHAnsi" w:cstheme="majorHAnsi"/>
                                <w:i/>
                                <w:sz w:val="22"/>
                                <w:szCs w:val="22"/>
                                <w:lang w:val="nl-NL"/>
                              </w:rPr>
                              <w:t>De frequentie en inhoud van de rapportage worden bepaald in overleg tussen het hoofd van de internal-auditfunctie, het senior management en het bestuur. De frequentie en de inhoud van de verslaglegging hangen af van het belang van de informatie die moet worden bekendgemaakt, evenals de mate van urgentie van de desbetreffende maatregelen die moeten worden genomen door het senior management en/of het bestuur.</w:t>
                            </w:r>
                          </w:p>
                          <w:p w:rsidR="00D93941" w:rsidRPr="00C66C75" w:rsidRDefault="00D93941" w:rsidP="00D93941">
                            <w:pPr>
                              <w:pStyle w:val="RedBullets"/>
                              <w:numPr>
                                <w:ilvl w:val="0"/>
                                <w:numId w:val="0"/>
                              </w:numPr>
                              <w:rPr>
                                <w:rFonts w:asciiTheme="majorHAnsi" w:hAnsiTheme="majorHAnsi" w:cstheme="majorHAnsi"/>
                                <w:i/>
                                <w:sz w:val="22"/>
                                <w:szCs w:val="22"/>
                                <w:lang w:val="nl-NL"/>
                              </w:rPr>
                            </w:pPr>
                          </w:p>
                          <w:p w:rsidR="002F57B5" w:rsidRPr="00C66C75" w:rsidRDefault="00D93941" w:rsidP="002F57B5">
                            <w:pPr>
                              <w:pStyle w:val="RedBullets"/>
                              <w:numPr>
                                <w:ilvl w:val="0"/>
                                <w:numId w:val="0"/>
                              </w:numPr>
                              <w:rPr>
                                <w:rFonts w:asciiTheme="majorHAnsi" w:hAnsiTheme="majorHAnsi" w:cstheme="majorHAnsi"/>
                                <w:i/>
                                <w:sz w:val="22"/>
                                <w:szCs w:val="22"/>
                              </w:rPr>
                            </w:pPr>
                            <w:r w:rsidRPr="00C66C75">
                              <w:rPr>
                                <w:rFonts w:asciiTheme="majorHAnsi" w:hAnsiTheme="majorHAnsi" w:cstheme="majorHAnsi"/>
                                <w:i/>
                                <w:sz w:val="22"/>
                                <w:szCs w:val="22"/>
                                <w:lang w:val="nl-NL"/>
                              </w:rPr>
                              <w:t>De rapportering en informatievoorziening door het hoofd van de internal-auditfunctie aan het senior management en het bestuur omvatten in ieder geval informatie over:</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9.25pt;width:7in;height:471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" fillcolor="#d8d8d8 [2732]" stroked="f">
                <v:textbox inset="14.4pt,23.76pt,14.4pt,23.76pt">
                  <w:txbxContent>
                    <w:p w:rsidR="002F57B5" w:rsidRPr="00D24D8B" w:rsidRDefault="00665553" w:rsidP="002F57B5">
                      <w:pPr>
                        <w:pStyle w:val="TemplateHeadline"/>
                        <w:rPr>
                          <w:rFonts w:asciiTheme="majorHAnsi" w:hAnsiTheme="majorHAnsi" w:cstheme="majorHAnsi"/>
                        </w:rPr>
                      </w:pPr>
                      <w:bookmarkStart w:id="1" w:name="_GoBack"/>
                      <w:bookmarkEnd w:id="1"/>
                      <w:r>
                        <w:rPr>
                          <w:rFonts w:asciiTheme="majorHAnsi" w:hAnsiTheme="majorHAnsi" w:cstheme="majorHAnsi"/>
                          <w:lang w:val="nl-NL"/>
                        </w:rPr>
                        <w:t xml:space="preserve">Standaard </w:t>
                      </w:r>
                      <w:r w:rsidR="00D93941" w:rsidRPr="00D93941">
                        <w:rPr>
                          <w:rFonts w:asciiTheme="majorHAnsi" w:hAnsiTheme="majorHAnsi" w:cstheme="majorHAnsi"/>
                          <w:lang w:val="nl-NL"/>
                        </w:rPr>
                        <w:t>2060 – Rapportering aan het senior management en het bestuur</w:t>
                      </w:r>
                    </w:p>
                    <w:p w:rsidR="00D93941" w:rsidRPr="00C66C75" w:rsidRDefault="00D93941" w:rsidP="00D93941">
                      <w:pPr>
                        <w:pStyle w:val="RedBullets"/>
                        <w:numPr>
                          <w:ilvl w:val="0"/>
                          <w:numId w:val="0"/>
                        </w:numPr>
                        <w:rPr>
                          <w:rFonts w:asciiTheme="majorHAnsi" w:hAnsiTheme="majorHAnsi" w:cstheme="majorHAnsi"/>
                          <w:sz w:val="22"/>
                          <w:szCs w:val="22"/>
                          <w:lang w:val="nl-NL"/>
                        </w:rPr>
                      </w:pPr>
                      <w:r w:rsidRPr="00C66C75">
                        <w:rPr>
                          <w:rFonts w:asciiTheme="majorHAnsi" w:hAnsiTheme="majorHAnsi" w:cstheme="majorHAnsi"/>
                          <w:sz w:val="22"/>
                          <w:szCs w:val="22"/>
                          <w:lang w:val="nl-NL"/>
                        </w:rPr>
                        <w:t>Het hoofd van de internal-auditfunctie moet periodiek rapporteren aan het senior management en het bestuur over het doel, de bevoegdheden en de verantwoordelijkheden van de internal-auditfunctie, evenals over de prestaties in het licht van het plan en de naleving van de gedragscode en de standaarden. De rapportering dient tevens de belangrijke risico's en controlekwesties te bevatten, inclusief frauderisico's, bestuursaangelegenheden en overige zaken die de aandacht vragen van het senior management en/of het bestuur.</w:t>
                      </w:r>
                    </w:p>
                    <w:p w:rsidR="00D93941" w:rsidRPr="00C66C75" w:rsidRDefault="00D93941" w:rsidP="00D93941">
                      <w:pPr>
                        <w:pStyle w:val="RedBullets"/>
                        <w:numPr>
                          <w:ilvl w:val="0"/>
                          <w:numId w:val="0"/>
                        </w:numPr>
                        <w:rPr>
                          <w:rFonts w:asciiTheme="majorHAnsi" w:hAnsiTheme="majorHAnsi" w:cstheme="majorHAnsi"/>
                          <w:sz w:val="22"/>
                          <w:szCs w:val="22"/>
                          <w:lang w:val="nl-NL"/>
                        </w:rPr>
                      </w:pPr>
                    </w:p>
                    <w:p w:rsidR="00D93941" w:rsidRDefault="00D93941" w:rsidP="00D93941">
                      <w:pPr>
                        <w:pStyle w:val="RedBullets"/>
                        <w:numPr>
                          <w:ilvl w:val="0"/>
                          <w:numId w:val="0"/>
                        </w:numPr>
                        <w:rPr>
                          <w:rFonts w:asciiTheme="majorHAnsi" w:hAnsiTheme="majorHAnsi" w:cstheme="majorHAnsi"/>
                          <w:b/>
                          <w:sz w:val="22"/>
                          <w:szCs w:val="22"/>
                          <w:lang w:val="nl-NL"/>
                        </w:rPr>
                      </w:pPr>
                      <w:r w:rsidRPr="00C66C75">
                        <w:rPr>
                          <w:rFonts w:asciiTheme="majorHAnsi" w:hAnsiTheme="majorHAnsi" w:cstheme="majorHAnsi"/>
                          <w:b/>
                          <w:sz w:val="22"/>
                          <w:szCs w:val="22"/>
                          <w:lang w:val="nl-NL"/>
                        </w:rPr>
                        <w:t>Interpretatie:</w:t>
                      </w:r>
                    </w:p>
                    <w:p w:rsidR="00C66C75" w:rsidRPr="00C66C75" w:rsidRDefault="00C66C75" w:rsidP="00D93941">
                      <w:pPr>
                        <w:pStyle w:val="RedBullets"/>
                        <w:numPr>
                          <w:ilvl w:val="0"/>
                          <w:numId w:val="0"/>
                        </w:numPr>
                        <w:rPr>
                          <w:rFonts w:asciiTheme="majorHAnsi" w:hAnsiTheme="majorHAnsi" w:cstheme="majorHAnsi"/>
                          <w:b/>
                          <w:sz w:val="22"/>
                          <w:szCs w:val="22"/>
                          <w:lang w:val="nl-NL"/>
                        </w:rPr>
                      </w:pPr>
                    </w:p>
                    <w:p w:rsidR="00D93941" w:rsidRPr="00C66C75" w:rsidRDefault="00D93941" w:rsidP="00D93941">
                      <w:pPr>
                        <w:pStyle w:val="RedBullets"/>
                        <w:numPr>
                          <w:ilvl w:val="0"/>
                          <w:numId w:val="0"/>
                        </w:numPr>
                        <w:rPr>
                          <w:rFonts w:asciiTheme="majorHAnsi" w:hAnsiTheme="majorHAnsi" w:cstheme="majorHAnsi"/>
                          <w:i/>
                          <w:sz w:val="22"/>
                          <w:szCs w:val="22"/>
                          <w:lang w:val="nl-NL"/>
                        </w:rPr>
                      </w:pPr>
                      <w:r w:rsidRPr="00C66C75">
                        <w:rPr>
                          <w:rFonts w:asciiTheme="majorHAnsi" w:hAnsiTheme="majorHAnsi" w:cstheme="majorHAnsi"/>
                          <w:i/>
                          <w:sz w:val="22"/>
                          <w:szCs w:val="22"/>
                          <w:lang w:val="nl-NL"/>
                        </w:rPr>
                        <w:t>De frequentie en inhoud van de rapportage worden bepaald in overleg tussen het hoofd van de internal-auditfunctie, het senior management en het bestuur. De frequentie en de inhoud van de verslaglegging hangen af van het belang van de informatie die moet worden bekendgemaakt, evenals de mate van urgentie van de desbetreffende maatregelen die moeten worden genomen door het senior management en/of het bestuur.</w:t>
                      </w:r>
                    </w:p>
                    <w:p w:rsidR="00D93941" w:rsidRPr="00C66C75" w:rsidRDefault="00D93941" w:rsidP="00D93941">
                      <w:pPr>
                        <w:pStyle w:val="RedBullets"/>
                        <w:numPr>
                          <w:ilvl w:val="0"/>
                          <w:numId w:val="0"/>
                        </w:numPr>
                        <w:rPr>
                          <w:rFonts w:asciiTheme="majorHAnsi" w:hAnsiTheme="majorHAnsi" w:cstheme="majorHAnsi"/>
                          <w:i/>
                          <w:sz w:val="22"/>
                          <w:szCs w:val="22"/>
                          <w:lang w:val="nl-NL"/>
                        </w:rPr>
                      </w:pPr>
                    </w:p>
                    <w:p w:rsidR="002F57B5" w:rsidRPr="00C66C75" w:rsidRDefault="00D93941" w:rsidP="002F57B5">
                      <w:pPr>
                        <w:pStyle w:val="RedBullets"/>
                        <w:numPr>
                          <w:ilvl w:val="0"/>
                          <w:numId w:val="0"/>
                        </w:numPr>
                        <w:rPr>
                          <w:rFonts w:asciiTheme="majorHAnsi" w:hAnsiTheme="majorHAnsi" w:cstheme="majorHAnsi"/>
                          <w:i/>
                          <w:sz w:val="22"/>
                          <w:szCs w:val="22"/>
                        </w:rPr>
                      </w:pPr>
                      <w:r w:rsidRPr="00C66C75">
                        <w:rPr>
                          <w:rFonts w:asciiTheme="majorHAnsi" w:hAnsiTheme="majorHAnsi" w:cstheme="majorHAnsi"/>
                          <w:i/>
                          <w:sz w:val="22"/>
                          <w:szCs w:val="22"/>
                          <w:lang w:val="nl-NL"/>
                        </w:rPr>
                        <w:t>De rapportering en informatievoorziening door het hoofd van de internal-auditfunctie aan het senior management en het bestuur omvatten in ieder geval informatie over:</w:t>
                      </w:r>
                    </w:p>
                  </w:txbxContent>
                </v:textbox>
                <w10:wrap type="square" anchorx="margin" anchory="margin"/>
              </v:shape>
            </w:pict>
          </mc:Fallback>
        </mc:AlternateContent>
      </w:r>
      <w:r w:rsidR="00685768" w:rsidRPr="00C66C75">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D93941">
                              <w:rPr>
                                <w:color w:val="FFFFFF" w:themeColor="background1"/>
                                <w:sz w:val="50"/>
                                <w:szCs w:val="50"/>
                                <w:lang w:val="nl-NL"/>
                                <w14:textOutline w14:w="9525" w14:cap="flat" w14:cmpd="sng" w14:algn="ctr">
                                  <w14:noFill/>
                                  <w14:prstDash w14:val="solid"/>
                                  <w14:round/>
                                </w14:textOutline>
                              </w:rPr>
                              <w:t>2060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D93941">
                        <w:rPr>
                          <w:color w:val="FFFFFF" w:themeColor="background1"/>
                          <w:sz w:val="50"/>
                          <w:szCs w:val="50"/>
                          <w:lang w:val="nl-NL"/>
                          <w14:textOutline w14:w="9525" w14:cap="flat" w14:cmpd="sng" w14:algn="ctr">
                            <w14:noFill/>
                            <w14:prstDash w14:val="solid"/>
                            <w14:round/>
                          </w14:textOutline>
                        </w:rPr>
                        <w:t>2060</w:t>
                      </w:r>
                    </w:p>
                  </w:txbxContent>
                </v:textbox>
                <w10:wrap type="square" anchorx="page" anchory="page"/>
              </v:shape>
            </w:pict>
          </mc:Fallback>
        </mc:AlternateContent>
      </w:r>
    </w:p>
    <w:p w:rsidR="007270E2" w:rsidRPr="00C66C75" w:rsidRDefault="007270E2" w:rsidP="007270E2">
      <w:pPr>
        <w:pStyle w:val="Geenafstand"/>
        <w:rPr>
          <w:rFonts w:cstheme="minorHAnsi"/>
          <w:lang w:val="nl-NL"/>
        </w:rPr>
      </w:pPr>
      <w:bookmarkStart w:id="0" w:name="_GoBack"/>
      <w:bookmarkEnd w:id="0"/>
    </w:p>
    <w:p w:rsidR="002F57B5" w:rsidRPr="00C66C75" w:rsidRDefault="00D93941" w:rsidP="002F57B5">
      <w:pPr>
        <w:pStyle w:val="TemplateHeadline"/>
        <w:rPr>
          <w:rFonts w:asciiTheme="minorHAnsi" w:hAnsiTheme="minorHAnsi" w:cstheme="minorHAnsi"/>
          <w:lang w:val="nl-NL"/>
        </w:rPr>
      </w:pPr>
      <w:r w:rsidRPr="00C66C75">
        <w:rPr>
          <w:rFonts w:asciiTheme="minorHAnsi" w:hAnsiTheme="minorHAnsi" w:cstheme="minorHAnsi"/>
          <w:noProof/>
          <w:lang w:val="nl-NL" w:eastAsia="nl-NL"/>
        </w:rPr>
        <mc:AlternateContent>
          <mc:Choice Requires="wps">
            <w:drawing>
              <wp:anchor distT="2103120" distB="274320" distL="114300" distR="114300" simplePos="0" relativeHeight="251664384" behindDoc="0" locked="0" layoutInCell="1" allowOverlap="1" wp14:anchorId="45885C5E" wp14:editId="1B4C59D1">
                <wp:simplePos x="0" y="0"/>
                <wp:positionH relativeFrom="margin">
                  <wp:align>right</wp:align>
                </wp:positionH>
                <wp:positionV relativeFrom="margin">
                  <wp:align>top</wp:align>
                </wp:positionV>
                <wp:extent cx="6400800" cy="3943350"/>
                <wp:effectExtent l="0" t="0" r="0" b="0"/>
                <wp:wrapSquare wrapText="bothSides"/>
                <wp:docPr id="2" name="Text Box 5"/>
                <wp:cNvGraphicFramePr/>
                <a:graphic xmlns:a="http://schemas.openxmlformats.org/drawingml/2006/main">
                  <a:graphicData uri="http://schemas.microsoft.com/office/word/2010/wordprocessingShape">
                    <wps:wsp>
                      <wps:cNvSpPr txBox="1"/>
                      <wps:spPr>
                        <a:xfrm>
                          <a:off x="0" y="0"/>
                          <a:ext cx="6400800" cy="394335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internal-auditcharter;</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onafhankelijkheid van de internal auditing;</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auditplan en de voortgang ten aanzien van dat plan;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vereisten ten aanzien van middelen;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resultaten van de auditwerkzaamheden;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naleving van de gedragscode en de Standaarden, evenals actieplannen om belangrijke nalevingskwesties op te lossen;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antwoord van het management op de risico's die naar het oordeel van het hoofd van de internal-auditfunctie onacceptabel zijn voor de organisatie.</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Deze en overige communicatievereisten met betrekking tot het hoofd van de internal-auditfunctie worden voortdurend genoemd in de Standaarden.</w:t>
                            </w:r>
                          </w:p>
                          <w:p w:rsidR="00D93941" w:rsidRPr="00C66C75" w:rsidRDefault="00D93941" w:rsidP="00D93941">
                            <w:pPr>
                              <w:pStyle w:val="RedBullets"/>
                              <w:numPr>
                                <w:ilvl w:val="0"/>
                                <w:numId w:val="0"/>
                              </w:numPr>
                              <w:ind w:left="994" w:hanging="360"/>
                              <w:rPr>
                                <w:rFonts w:asciiTheme="majorHAnsi" w:hAnsiTheme="majorHAnsi" w:cstheme="majorHAnsi"/>
                                <w:sz w:val="22"/>
                                <w:szCs w:val="22"/>
                                <w:lang w:val="nl-NL"/>
                              </w:rPr>
                            </w:pPr>
                          </w:p>
                          <w:p w:rsidR="00D93941" w:rsidRPr="00C66C75" w:rsidRDefault="00D93941" w:rsidP="00D93941">
                            <w:pPr>
                              <w:pStyle w:val="RedBullets"/>
                              <w:numPr>
                                <w:ilvl w:val="0"/>
                                <w:numId w:val="0"/>
                              </w:numPr>
                              <w:jc w:val="right"/>
                              <w:rPr>
                                <w:rFonts w:asciiTheme="majorHAnsi" w:hAnsiTheme="majorHAnsi" w:cstheme="majorHAnsi"/>
                                <w:sz w:val="22"/>
                                <w:szCs w:val="22"/>
                                <w:lang w:val="nl-NL"/>
                              </w:rPr>
                            </w:pPr>
                            <w:proofErr w:type="spellStart"/>
                            <w:r w:rsidRPr="00C66C75">
                              <w:rPr>
                                <w:rFonts w:asciiTheme="majorHAnsi" w:hAnsiTheme="majorHAnsi" w:cstheme="majorHAnsi"/>
                                <w:sz w:val="22"/>
                                <w:szCs w:val="22"/>
                                <w:lang w:val="nl-NL"/>
                              </w:rPr>
                              <w:t>Herziene</w:t>
                            </w:r>
                            <w:proofErr w:type="spellEnd"/>
                            <w:r w:rsidRPr="00C66C75">
                              <w:rPr>
                                <w:rFonts w:asciiTheme="majorHAnsi" w:hAnsiTheme="majorHAnsi" w:cstheme="majorHAnsi"/>
                                <w:sz w:val="22"/>
                                <w:szCs w:val="22"/>
                                <w:lang w:val="nl-NL"/>
                              </w:rPr>
                              <w:t xml:space="preserve"> </w:t>
                            </w:r>
                            <w:r w:rsidRPr="004D443D">
                              <w:rPr>
                                <w:rFonts w:asciiTheme="majorHAnsi" w:hAnsiTheme="majorHAnsi" w:cstheme="majorHAnsi"/>
                                <w:i/>
                                <w:sz w:val="22"/>
                                <w:szCs w:val="22"/>
                                <w:lang w:val="nl-NL"/>
                              </w:rPr>
                              <w:t>Standaarden</w:t>
                            </w:r>
                            <w:r w:rsidRPr="00C66C75">
                              <w:rPr>
                                <w:rFonts w:asciiTheme="majorHAnsi" w:hAnsiTheme="majorHAnsi"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85C5E" id="_x0000_t202" coordsize="21600,21600" o:spt="202" path="m,l,21600r21600,l21600,xe">
                <v:stroke joinstyle="miter"/>
                <v:path gradientshapeok="t" o:connecttype="rect"/>
              </v:shapetype>
              <v:shape id="_x0000_s1028" type="#_x0000_t202" style="position:absolute;margin-left:452.8pt;margin-top:0;width:7in;height:310.5pt;z-index:251664384;visibility:visible;mso-wrap-style:square;mso-height-percent:0;mso-wrap-distance-left:9pt;mso-wrap-distance-top:165.6pt;mso-wrap-distance-right:9pt;mso-wrap-distance-bottom:21.6pt;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" fillcolor="#d8d8d8 [2732]" stroked="f">
                <v:textbox inset="14.4pt,23.76pt,14.4pt,23.76pt">
                  <w:txbxContent>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internal-auditcharter;</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onafhankelijkheid van de internal auditing;</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auditplan en de voortgang ten aanzien van dat plan;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vereisten ten aanzien van middelen;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 resultaten van de auditwerkzaamheden;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naleving van de gedragscode en de Standaarden, evenals actieplannen om belangrijke nalevingskwesties op te lossen;</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het antwoord van het management op de risico's die naar het oordeel van het hoofd van de internal-auditfunctie onacceptabel zijn voor de organisatie.</w:t>
                      </w:r>
                    </w:p>
                    <w:p w:rsidR="00D93941" w:rsidRPr="00C66C75" w:rsidRDefault="00D93941" w:rsidP="00D93941">
                      <w:pPr>
                        <w:pStyle w:val="RedBullets"/>
                        <w:rPr>
                          <w:rFonts w:asciiTheme="majorHAnsi" w:hAnsiTheme="majorHAnsi" w:cstheme="majorHAnsi"/>
                          <w:i/>
                          <w:sz w:val="22"/>
                          <w:szCs w:val="22"/>
                          <w:lang w:val="nl-NL"/>
                        </w:rPr>
                      </w:pPr>
                      <w:r w:rsidRPr="00C66C75">
                        <w:rPr>
                          <w:rFonts w:asciiTheme="majorHAnsi" w:hAnsiTheme="majorHAnsi" w:cstheme="majorHAnsi"/>
                          <w:i/>
                          <w:sz w:val="22"/>
                          <w:szCs w:val="22"/>
                          <w:lang w:val="nl-NL"/>
                        </w:rPr>
                        <w:t>Deze en overige communicatievereisten met betrekking tot het hoofd van de internal-auditfunctie worden voortdurend genoemd in de Standaarden.</w:t>
                      </w:r>
                    </w:p>
                    <w:p w:rsidR="00D93941" w:rsidRPr="00C66C75" w:rsidRDefault="00D93941" w:rsidP="00D93941">
                      <w:pPr>
                        <w:pStyle w:val="RedBullets"/>
                        <w:numPr>
                          <w:ilvl w:val="0"/>
                          <w:numId w:val="0"/>
                        </w:numPr>
                        <w:ind w:left="994" w:hanging="360"/>
                        <w:rPr>
                          <w:rFonts w:asciiTheme="majorHAnsi" w:hAnsiTheme="majorHAnsi" w:cstheme="majorHAnsi"/>
                          <w:sz w:val="22"/>
                          <w:szCs w:val="22"/>
                          <w:lang w:val="nl-NL"/>
                        </w:rPr>
                      </w:pPr>
                    </w:p>
                    <w:p w:rsidR="00D93941" w:rsidRPr="00C66C75" w:rsidRDefault="00D93941" w:rsidP="00D93941">
                      <w:pPr>
                        <w:pStyle w:val="RedBullets"/>
                        <w:numPr>
                          <w:ilvl w:val="0"/>
                          <w:numId w:val="0"/>
                        </w:numPr>
                        <w:jc w:val="right"/>
                        <w:rPr>
                          <w:rFonts w:asciiTheme="majorHAnsi" w:hAnsiTheme="majorHAnsi" w:cstheme="majorHAnsi"/>
                          <w:sz w:val="22"/>
                          <w:szCs w:val="22"/>
                          <w:lang w:val="nl-NL"/>
                        </w:rPr>
                      </w:pPr>
                      <w:proofErr w:type="spellStart"/>
                      <w:r w:rsidRPr="00C66C75">
                        <w:rPr>
                          <w:rFonts w:asciiTheme="majorHAnsi" w:hAnsiTheme="majorHAnsi" w:cstheme="majorHAnsi"/>
                          <w:sz w:val="22"/>
                          <w:szCs w:val="22"/>
                          <w:lang w:val="nl-NL"/>
                        </w:rPr>
                        <w:t>Herziene</w:t>
                      </w:r>
                      <w:proofErr w:type="spellEnd"/>
                      <w:r w:rsidRPr="00C66C75">
                        <w:rPr>
                          <w:rFonts w:asciiTheme="majorHAnsi" w:hAnsiTheme="majorHAnsi" w:cstheme="majorHAnsi"/>
                          <w:sz w:val="22"/>
                          <w:szCs w:val="22"/>
                          <w:lang w:val="nl-NL"/>
                        </w:rPr>
                        <w:t xml:space="preserve"> </w:t>
                      </w:r>
                      <w:r w:rsidRPr="004D443D">
                        <w:rPr>
                          <w:rFonts w:asciiTheme="majorHAnsi" w:hAnsiTheme="majorHAnsi" w:cstheme="majorHAnsi"/>
                          <w:i/>
                          <w:sz w:val="22"/>
                          <w:szCs w:val="22"/>
                          <w:lang w:val="nl-NL"/>
                        </w:rPr>
                        <w:t>Standaarden</w:t>
                      </w:r>
                      <w:r w:rsidRPr="00C66C75">
                        <w:rPr>
                          <w:rFonts w:asciiTheme="majorHAnsi" w:hAnsiTheme="majorHAnsi" w:cstheme="majorHAnsi"/>
                          <w:sz w:val="22"/>
                          <w:szCs w:val="22"/>
                          <w:lang w:val="nl-NL"/>
                        </w:rPr>
                        <w:t xml:space="preserve"> die per 1 januari 2017 van kracht zijn</w:t>
                      </w:r>
                    </w:p>
                  </w:txbxContent>
                </v:textbox>
                <w10:wrap type="square" anchorx="margin" anchory="margin"/>
              </v:shape>
            </w:pict>
          </mc:Fallback>
        </mc:AlternateContent>
      </w:r>
      <w:r w:rsidR="00685768" w:rsidRPr="00C66C75">
        <w:rPr>
          <w:rFonts w:asciiTheme="minorHAnsi" w:hAnsiTheme="minorHAnsi" w:cstheme="minorHAnsi"/>
          <w:lang w:val="nl-NL"/>
        </w:rPr>
        <w:t xml:space="preserve">Inleiding </w:t>
      </w:r>
    </w:p>
    <w:p w:rsidR="00AE0922" w:rsidRPr="00C66C75" w:rsidRDefault="00AE0922" w:rsidP="00AE0922">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Effectief communiceren met het senior management en het bestuur is een essentiële verantwoordelijkheid van het hoofd van de internal auditfunctie (CAE), en deze standaard heeft betrekking op alle primaire rapportagevereisten van de CAE in alle </w:t>
      </w:r>
      <w:r w:rsidRPr="00C66C75">
        <w:rPr>
          <w:rFonts w:asciiTheme="minorHAnsi" w:hAnsiTheme="minorHAnsi" w:cstheme="minorHAnsi"/>
          <w:i/>
          <w:iCs/>
          <w:sz w:val="22"/>
          <w:szCs w:val="22"/>
          <w:lang w:val="nl-NL"/>
        </w:rPr>
        <w:t>Standaarden</w:t>
      </w:r>
      <w:r w:rsidRPr="00C66C75">
        <w:rPr>
          <w:rFonts w:asciiTheme="minorHAnsi" w:hAnsiTheme="minorHAnsi" w:cstheme="minorHAnsi"/>
          <w:sz w:val="22"/>
          <w:szCs w:val="22"/>
          <w:lang w:val="nl-NL"/>
        </w:rPr>
        <w:t>. Bij de implementatie van de standaarden met betrekking tot communicatie zal de CAE meestal willen weten wat de verwachtingen van het senior management en het bestuur ten aanzien van de rapportage zijn, die in het charter van de auditcommissie vermeld kunnen zijn. De drie partijen bespreken en bepalen doorgaans gezamenlijk de frequentie en vorm van de internal auditrapportage en het rapportageschema dat het meest geschikt is voor de organisatie, evenals het belang en de urgentie van verschillende soorten auditinformatie. Het kan ook handig zijn om vooraf te overleggen over protocollen voor de CAE om belangrijke en dringende risico- of beheersingsgebeurtenissen te melden alsmede de bijbehorende acties die door het senior management en het bestuur moeten worden genomen.</w:t>
      </w:r>
    </w:p>
    <w:p w:rsidR="00AE0922" w:rsidRPr="00C66C75" w:rsidRDefault="00AE0922" w:rsidP="00AE0922">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lastRenderedPageBreak/>
        <w:t>Bovendien kan de CAE het nuttig vinden om het volgende vast te stellen of te beoordelen:</w:t>
      </w:r>
    </w:p>
    <w:p w:rsidR="00AE0922" w:rsidRPr="00C66C75" w:rsidRDefault="00AE0922" w:rsidP="00AE092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Het internal auditcharter, inclusief het doel, de bevoegdheid en de verantwoordelijkheid van de internal auditfunctie.</w:t>
      </w:r>
    </w:p>
    <w:p w:rsidR="00AE0922" w:rsidRPr="00C66C75" w:rsidRDefault="00AE0922" w:rsidP="00AE092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Het internal auditplan en de belangrijkste prestatie-indicatoren voor het meten van de voortgang van de internal auditfunctie richting voltooiing van het plan.</w:t>
      </w:r>
    </w:p>
    <w:p w:rsidR="00AE0922" w:rsidRPr="00C66C75" w:rsidRDefault="00AE0922" w:rsidP="00AE092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Het kwaliteitsbewakings- en verbeterprogramma, dat de naleving van de dwingende richtlijnen van het International Professional </w:t>
      </w:r>
      <w:proofErr w:type="spellStart"/>
      <w:r w:rsidRPr="00C66C75">
        <w:rPr>
          <w:rFonts w:asciiTheme="minorHAnsi" w:hAnsiTheme="minorHAnsi" w:cstheme="minorHAnsi"/>
          <w:sz w:val="22"/>
          <w:szCs w:val="22"/>
          <w:lang w:val="nl-NL"/>
        </w:rPr>
        <w:t>Practices</w:t>
      </w:r>
      <w:proofErr w:type="spellEnd"/>
      <w:r w:rsidRPr="00C66C75">
        <w:rPr>
          <w:rFonts w:asciiTheme="minorHAnsi" w:hAnsiTheme="minorHAnsi" w:cstheme="minorHAnsi"/>
          <w:sz w:val="22"/>
          <w:szCs w:val="22"/>
          <w:lang w:val="nl-NL"/>
        </w:rPr>
        <w:t xml:space="preserve"> Framework (IPPF) door de internal auditfunctie meet.</w:t>
      </w:r>
    </w:p>
    <w:p w:rsidR="00AE0922" w:rsidRPr="00C66C75" w:rsidRDefault="00AE0922" w:rsidP="00AE0922">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Processen voor het identificeren van belangrijke risico- en </w:t>
      </w:r>
      <w:proofErr w:type="spellStart"/>
      <w:r w:rsidRPr="00C66C75">
        <w:rPr>
          <w:rFonts w:asciiTheme="minorHAnsi" w:hAnsiTheme="minorHAnsi" w:cstheme="minorHAnsi"/>
          <w:sz w:val="22"/>
          <w:szCs w:val="22"/>
          <w:lang w:val="nl-NL"/>
        </w:rPr>
        <w:t>beheerskwesties</w:t>
      </w:r>
      <w:proofErr w:type="spellEnd"/>
      <w:r w:rsidRPr="00C66C75">
        <w:rPr>
          <w:rFonts w:asciiTheme="minorHAnsi" w:hAnsiTheme="minorHAnsi" w:cstheme="minorHAnsi"/>
          <w:sz w:val="22"/>
          <w:szCs w:val="22"/>
          <w:lang w:val="nl-NL"/>
        </w:rPr>
        <w:t>.</w:t>
      </w:r>
    </w:p>
    <w:p w:rsidR="002C0B84" w:rsidRPr="00C66C75" w:rsidRDefault="002C0B84" w:rsidP="0081412E">
      <w:pPr>
        <w:pStyle w:val="TemplateHeadline"/>
        <w:rPr>
          <w:rFonts w:asciiTheme="minorHAnsi" w:hAnsiTheme="minorHAnsi" w:cstheme="minorHAnsi"/>
          <w:color w:val="000000"/>
          <w:sz w:val="22"/>
          <w:szCs w:val="22"/>
          <w:lang w:val="nl-NL"/>
        </w:rPr>
      </w:pPr>
    </w:p>
    <w:p w:rsidR="002F57B5" w:rsidRPr="00C66C75" w:rsidRDefault="00685768" w:rsidP="002F57B5">
      <w:pPr>
        <w:pStyle w:val="TemplateHeadline"/>
        <w:rPr>
          <w:rFonts w:asciiTheme="minorHAnsi" w:hAnsiTheme="minorHAnsi" w:cstheme="minorHAnsi"/>
          <w:lang w:val="nl-NL"/>
        </w:rPr>
      </w:pPr>
      <w:r w:rsidRPr="00C66C75">
        <w:rPr>
          <w:rFonts w:asciiTheme="minorHAnsi" w:hAnsiTheme="minorHAnsi" w:cstheme="minorHAnsi"/>
          <w:lang w:val="nl-NL"/>
        </w:rPr>
        <w:t xml:space="preserve">Overwegingen bij de implementatie </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Standaard 2060 staat flexibiliteit toe in de frequentie en inhoud van de rapportage, maar merkt op dat deze factoren zullen afhangen van het belang van de informatie en de mate van urgentie waarmee het senior management en/of het bestuur mogelijk moet handelen naar aanleiding van de communicatie. Daarnaast hebben sommige standaarden specifieke eisen betreffende frequentie. Bijvoorbeeld zaken die minstens jaarlijks moeten worden gecommuniceerd, omvatten de organisatorische onafhankelijkheid van de internal auditfunctie (Standaard 1110) en de resultaten van voortdurend toezicht op de prestaties van de internal auditfunctie (Standaard 1320). </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Om consistente en effectieve communicatie met senior management en het bestuur te onderhouden en te volgen, kan de CAE overwegen gebruik te maken van een checklist van alle rapportagevereisten die in de </w:t>
      </w:r>
      <w:r w:rsidRPr="00C66C75">
        <w:rPr>
          <w:rFonts w:asciiTheme="minorHAnsi" w:hAnsiTheme="minorHAnsi" w:cstheme="minorHAnsi"/>
          <w:i/>
          <w:iCs/>
          <w:sz w:val="22"/>
          <w:szCs w:val="22"/>
          <w:lang w:val="nl-NL"/>
        </w:rPr>
        <w:t xml:space="preserve">Standaarden </w:t>
      </w:r>
      <w:r w:rsidRPr="00C66C75">
        <w:rPr>
          <w:rFonts w:asciiTheme="minorHAnsi" w:hAnsiTheme="minorHAnsi" w:cstheme="minorHAnsi"/>
          <w:sz w:val="22"/>
          <w:szCs w:val="22"/>
          <w:lang w:val="nl-NL"/>
        </w:rPr>
        <w:t>worden vermeld, met betrekking tot de volgende onderwerpen:</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rPr>
      </w:pPr>
      <w:r w:rsidRPr="00C66C75">
        <w:rPr>
          <w:rFonts w:asciiTheme="minorHAnsi" w:hAnsiTheme="minorHAnsi" w:cstheme="minorHAnsi"/>
          <w:sz w:val="22"/>
          <w:szCs w:val="22"/>
          <w:lang w:val="nl-NL"/>
        </w:rPr>
        <w:t>Het internal auditcharter.</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Organisatorische onafhankelijkheid van de internal auditfunctie;</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Internal auditplannen, vereiste middelen en prestaties.</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rPr>
      </w:pPr>
      <w:r w:rsidRPr="00C66C75">
        <w:rPr>
          <w:rFonts w:asciiTheme="minorHAnsi" w:hAnsiTheme="minorHAnsi" w:cstheme="minorHAnsi"/>
          <w:sz w:val="22"/>
          <w:szCs w:val="22"/>
          <w:lang w:val="nl-NL"/>
        </w:rPr>
        <w:t>Resultaten van auditopdrachten;</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rPr>
      </w:pPr>
      <w:r w:rsidRPr="00C66C75">
        <w:rPr>
          <w:rFonts w:asciiTheme="minorHAnsi" w:hAnsiTheme="minorHAnsi" w:cstheme="minorHAnsi"/>
          <w:sz w:val="22"/>
          <w:szCs w:val="22"/>
          <w:lang w:val="nl-NL"/>
        </w:rPr>
        <w:t>Kwaliteitsbewakings- en verbeterprogramma.</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Naleving van de Gedragscode en </w:t>
      </w:r>
      <w:r w:rsidRPr="00C66C75">
        <w:rPr>
          <w:rFonts w:asciiTheme="minorHAnsi" w:hAnsiTheme="minorHAnsi" w:cstheme="minorHAnsi"/>
          <w:i/>
          <w:iCs/>
          <w:sz w:val="22"/>
          <w:szCs w:val="22"/>
          <w:lang w:val="nl-NL"/>
        </w:rPr>
        <w:t>Standaarden</w:t>
      </w:r>
      <w:r w:rsidRPr="00C66C75">
        <w:rPr>
          <w:rFonts w:asciiTheme="minorHAnsi" w:hAnsiTheme="minorHAnsi" w:cstheme="minorHAnsi"/>
          <w:sz w:val="22"/>
          <w:szCs w:val="22"/>
          <w:lang w:val="nl-NL"/>
        </w:rPr>
        <w:t>.</w:t>
      </w:r>
    </w:p>
    <w:p w:rsidR="00AF1EF5" w:rsidRPr="00C66C75" w:rsidRDefault="00AF1EF5" w:rsidP="00AF1E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Belangrijke risico- en </w:t>
      </w:r>
      <w:proofErr w:type="spellStart"/>
      <w:r w:rsidRPr="00C66C75">
        <w:rPr>
          <w:rFonts w:asciiTheme="minorHAnsi" w:hAnsiTheme="minorHAnsi" w:cstheme="minorHAnsi"/>
          <w:sz w:val="22"/>
          <w:szCs w:val="22"/>
          <w:lang w:val="nl-NL"/>
        </w:rPr>
        <w:t>beheerskwesties</w:t>
      </w:r>
      <w:proofErr w:type="spellEnd"/>
      <w:r w:rsidRPr="00C66C75">
        <w:rPr>
          <w:rFonts w:asciiTheme="minorHAnsi" w:hAnsiTheme="minorHAnsi" w:cstheme="minorHAnsi"/>
          <w:sz w:val="22"/>
          <w:szCs w:val="22"/>
          <w:lang w:val="nl-NL"/>
        </w:rPr>
        <w:t xml:space="preserve"> en risicoacceptatie van het management.</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Een dergelijke checklist kan een schema van communicatie en herinneringen aan </w:t>
      </w:r>
      <w:r w:rsidRPr="00C66C75">
        <w:rPr>
          <w:rFonts w:asciiTheme="minorHAnsi" w:hAnsiTheme="minorHAnsi" w:cstheme="minorHAnsi"/>
          <w:sz w:val="22"/>
          <w:szCs w:val="22"/>
          <w:lang w:val="nl-NL"/>
        </w:rPr>
        <w:lastRenderedPageBreak/>
        <w:t>goedkeuringsvereisten omvatten. Opname van een vast agendapunt op de bestuursvergaderingen biedt de CAE de mogelijkheid regelmatig te communiceren.</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Het internal auditcharter</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Volgens standaard 1000 – Doel, bevoegdheid en verantwoordelijkheid, moet het doel, de bevoegdheid en de verantwoordelijkheid van de internal auditfunctie formeel worden omschreven in het internal auditcharter. De CAE is verantwoordelijk voor de periodieke herziening van het charter en het ter goedkeuring voorleggen ervan aan het senior management en het bestuur. De missie van internal auditing en de verplichte elementen van het IPPF, die in het internal auditcharter worden onderkend, dienen ook te worden besproken conform Standaard 1010 – Erkenning van dwingende richtlijnen in het internal auditcharter.</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Organisatorische onafhankelijkheid van de internal auditfunctie</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De organisatorische onafhankelijkheid van de internal auditfunctie moet jaarlijks aan het bestuur worden bevestigd, conform Standaard 1110 – Organisatorische onafhankelijkheid. Bovendien moet elke interventie bij het bepalen van de reikwijdte van internal auditing, het uitvoeren van werkzaamheden of het communiceren van resultaten — evenals de implicaties van deze interventie — worden gemeld aan het bestuur, overeenkomstig Standaard 1110.A1. Een onafhankelijke rapportagerelatie is essentieel om ervoor te zorgen dat de CAE direct kan communiceren met het bestuur, zoals vereist in Standaard 1111 – Directe Interactie met het bestuur.</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Internal auditplannen, vereiste middelen en prestatie</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Standaard 2020 – Communicatie en goedkeuring en de bijbehorende Implementatierichtlijn specificeren de details van de communicatie van de plannen van de internal auditfunctie en de vereiste middelen. Standaard 2060 voegt de eis toe om de prestaties van de internal auditfunctie in relatie tot haar plan te rapporteren. Dit is een mogelijkheid voor de CAE om de waarde die door de internal auditfunctie wordt verhoogd en beschermd en de uitvoering van haar aanbevelingen te illustreren. Om het prestatieniveau te kwantificeren, gebruiken veel CAE's belangrijke prestatie-indicatoren, zoals het percentage van het auditplan dat voltooid is, het percentage van de auditadviezen dat geaccepteerd of geïmplementeerd is, de status van de corrigerende maatregelen van het management, of de </w:t>
      </w:r>
      <w:r w:rsidRPr="00C66C75">
        <w:rPr>
          <w:rFonts w:asciiTheme="minorHAnsi" w:hAnsiTheme="minorHAnsi" w:cstheme="minorHAnsi"/>
          <w:sz w:val="22"/>
          <w:szCs w:val="22"/>
          <w:lang w:val="nl-NL"/>
        </w:rPr>
        <w:lastRenderedPageBreak/>
        <w:t xml:space="preserve">gemiddelde tijd die wordt genomen om rapporten uit te brengen. Daarnaast kunnen updates met betrekking tot eventuele speciale verzoeken van het bestuur en/of het senior management tijdens bestuursvergaderingen worden besproken. </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Resultaten van auditopdrachten</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De 2400-serie van de standaarden omvat de vereisten voor het communiceren van de resultaten van auditopdrachten, inclusief de informatie die communicatie over een opdracht moet bevatten, de kwaliteit van die informatie en het protocol in geval van vergissingen en omissies of niet-naleving van de Gedragscode of </w:t>
      </w:r>
      <w:r w:rsidRPr="00C66C75">
        <w:rPr>
          <w:rFonts w:asciiTheme="minorHAnsi" w:hAnsiTheme="minorHAnsi" w:cstheme="minorHAnsi"/>
          <w:i/>
          <w:iCs/>
          <w:sz w:val="22"/>
          <w:szCs w:val="22"/>
          <w:lang w:val="nl-NL"/>
        </w:rPr>
        <w:t xml:space="preserve">Standaarden </w:t>
      </w:r>
      <w:r w:rsidRPr="00C66C75">
        <w:rPr>
          <w:rFonts w:asciiTheme="minorHAnsi" w:hAnsiTheme="minorHAnsi" w:cstheme="minorHAnsi"/>
          <w:sz w:val="22"/>
          <w:szCs w:val="22"/>
          <w:lang w:val="nl-NL"/>
        </w:rPr>
        <w:t>die een specifieke opdracht beïnvloeden. Standaard 2440 – Verspreiding van de resultaten, bespreekt de verantwoordelijkheden van de CAE in verband met de communicatie over de definitieve opdracht, en Standaard 2450 – Algemene oordelen, beschrijft de criteria voor het uitbrengen van een algemeen oordeel.</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Kwaliteitsbewakings- en verbeterprogramma</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De 1300-serie standaarden behandelt de verantwoordelijkheid van de CAE voor het ontwikkelen en onderhouden van een kwaliteitsbewakings- en verbeterprogramma dat interne en externe evaluaties omvat. Standaard 1320 – Rapportering over het kwaliteitsbewakings- en verbeterprogramma, geeft de eisen aan die gesteld worden aan de communicatie van de CAE aan het senior management en het bestuur, inclusief de eis dat deze rapportage dient plaats te vinden wanneer de beoordelingen zijn afgerond. De resultaten van de voortdurende bewaking van de prestaties van de internal auditfunctie, die deel uitmaakt van het interne beoordelingsproces, moeten echter ten minste jaarlijks worden gerapporteerd.</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Met betrekking tot de externe evaluatie van de internal auditfunctie, die ten minste eenmaal per vijf jaar moet worden uitgevoerd, vereist Standaard 1312 – Externe evaluaties, dat de CAE de kwalificaties en onafhankelijkheid van de externe beoordelaar of het externe beoordelingsteam met het bestuur bespreekt, met inbegrip van alle mogelijke belangenverstrengelingen. De CAE dient toezicht door het bestuur bij de externe evaluatie aan te moedigen, zulks ter vermindering van de schijn van belangenverstrengelingen of van potentiële belangenverstrengelingen.</w:t>
      </w:r>
    </w:p>
    <w:p w:rsidR="007270E2" w:rsidRPr="00C66C75" w:rsidRDefault="007270E2" w:rsidP="00AF1EF5">
      <w:pPr>
        <w:pStyle w:val="TemplateBodyText"/>
        <w:rPr>
          <w:rFonts w:asciiTheme="minorHAnsi" w:hAnsiTheme="minorHAnsi" w:cstheme="minorHAnsi"/>
          <w:sz w:val="22"/>
          <w:szCs w:val="22"/>
          <w:lang w:val="nl-NL"/>
        </w:rPr>
      </w:pPr>
    </w:p>
    <w:p w:rsidR="00AF1EF5" w:rsidRPr="00C66C75" w:rsidRDefault="00AF1EF5" w:rsidP="00AF1EF5">
      <w:pPr>
        <w:pStyle w:val="Ondertitel"/>
        <w:rPr>
          <w:rFonts w:asciiTheme="minorHAnsi" w:hAnsiTheme="minorHAnsi" w:cstheme="minorHAnsi"/>
          <w:i/>
          <w:sz w:val="22"/>
          <w:lang w:val="nl-NL"/>
        </w:rPr>
      </w:pPr>
      <w:r w:rsidRPr="00C66C75">
        <w:rPr>
          <w:rFonts w:asciiTheme="minorHAnsi" w:hAnsiTheme="minorHAnsi" w:cstheme="minorHAnsi"/>
          <w:sz w:val="22"/>
          <w:lang w:val="nl-NL"/>
        </w:rPr>
        <w:lastRenderedPageBreak/>
        <w:t xml:space="preserve">Naleving van de Gedragscode en de </w:t>
      </w:r>
      <w:r w:rsidRPr="00C66C75">
        <w:rPr>
          <w:rFonts w:asciiTheme="minorHAnsi" w:hAnsiTheme="minorHAnsi" w:cstheme="minorHAnsi"/>
          <w:i/>
          <w:iCs/>
          <w:sz w:val="22"/>
          <w:lang w:val="nl-NL"/>
        </w:rPr>
        <w:t>Standaarden</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Standaard 1320 – Rapportering over het kwaliteitsbewakings- en verbeterprogramma, en de bijbehorende implementatierichtlijnen, beschrijven ook de details van rapporteren over de naleving van de Gedragscode en de </w:t>
      </w:r>
      <w:r w:rsidRPr="00C66C75">
        <w:rPr>
          <w:rFonts w:asciiTheme="minorHAnsi" w:hAnsiTheme="minorHAnsi" w:cstheme="minorHAnsi"/>
          <w:i/>
          <w:iCs/>
          <w:sz w:val="22"/>
          <w:szCs w:val="22"/>
          <w:lang w:val="nl-NL"/>
        </w:rPr>
        <w:t>Standaarden</w:t>
      </w:r>
      <w:r w:rsidRPr="00C66C75">
        <w:rPr>
          <w:rFonts w:asciiTheme="minorHAnsi" w:hAnsiTheme="minorHAnsi" w:cstheme="minorHAnsi"/>
          <w:sz w:val="22"/>
          <w:szCs w:val="22"/>
          <w:lang w:val="nl-NL"/>
        </w:rPr>
        <w:t xml:space="preserve"> door de internal auditfunctie. In Standaard 1322 – Melding van niet-naleving, staat: "Wanneer niet-naleving van de Gedragscode of de </w:t>
      </w:r>
      <w:r w:rsidRPr="00C66C75">
        <w:rPr>
          <w:rFonts w:asciiTheme="minorHAnsi" w:hAnsiTheme="minorHAnsi" w:cstheme="minorHAnsi"/>
          <w:i/>
          <w:iCs/>
          <w:sz w:val="22"/>
          <w:szCs w:val="22"/>
          <w:lang w:val="nl-NL"/>
        </w:rPr>
        <w:t>Standaarden</w:t>
      </w:r>
      <w:r w:rsidRPr="00C66C75">
        <w:rPr>
          <w:rFonts w:asciiTheme="minorHAnsi" w:hAnsiTheme="minorHAnsi" w:cstheme="minorHAnsi"/>
          <w:sz w:val="22"/>
          <w:szCs w:val="22"/>
          <w:lang w:val="nl-NL"/>
        </w:rPr>
        <w:t xml:space="preserve"> de algehele reikwijdte of werking van de internal auditfunctie beïnvloedt, moet het hoofd van de internal auditfunctie de niet-naleving en de gevolgen daarvan melden aan het senior management en het bestuur." Standaard 1322 beschrijft ook overwegingen voor het rapporteren van niet-naleving. Standaard 2431 – Kennisgeving over niet-naleving tijdens de opdracht, bepaalt de informatie die moet worden gemeld wanneer niet-naleving een specifieke opdracht beïnvloedt. Bovendien roept ​​Standaard 2060 de CAE op om actieplannen te communiceren om belangrijke vraagstukken in verband met naleving aan te pakken.</w:t>
      </w:r>
    </w:p>
    <w:p w:rsidR="00AF1EF5" w:rsidRPr="00C66C75" w:rsidRDefault="00AF1EF5" w:rsidP="00AF1EF5">
      <w:pPr>
        <w:pStyle w:val="Ondertitel"/>
        <w:rPr>
          <w:rFonts w:asciiTheme="minorHAnsi" w:hAnsiTheme="minorHAnsi" w:cstheme="minorHAnsi"/>
          <w:sz w:val="22"/>
          <w:lang w:val="nl-NL"/>
        </w:rPr>
      </w:pPr>
      <w:r w:rsidRPr="00C66C75">
        <w:rPr>
          <w:rFonts w:asciiTheme="minorHAnsi" w:hAnsiTheme="minorHAnsi" w:cstheme="minorHAnsi"/>
          <w:sz w:val="22"/>
          <w:lang w:val="nl-NL"/>
        </w:rPr>
        <w:t xml:space="preserve">Belangrijke risico- en </w:t>
      </w:r>
      <w:proofErr w:type="spellStart"/>
      <w:r w:rsidRPr="00C66C75">
        <w:rPr>
          <w:rFonts w:asciiTheme="minorHAnsi" w:hAnsiTheme="minorHAnsi" w:cstheme="minorHAnsi"/>
          <w:sz w:val="22"/>
          <w:lang w:val="nl-NL"/>
        </w:rPr>
        <w:t>beheerskwesties</w:t>
      </w:r>
      <w:proofErr w:type="spellEnd"/>
      <w:r w:rsidRPr="00C66C75">
        <w:rPr>
          <w:rFonts w:asciiTheme="minorHAnsi" w:hAnsiTheme="minorHAnsi" w:cstheme="minorHAnsi"/>
          <w:sz w:val="22"/>
          <w:lang w:val="nl-NL"/>
        </w:rPr>
        <w:t xml:space="preserve"> en aanvaarding van risico's door het management</w:t>
      </w:r>
    </w:p>
    <w:p w:rsidR="00AF1EF5" w:rsidRPr="00C66C75" w:rsidRDefault="00AF1EF5" w:rsidP="00AF1EF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Een primair doel van CAE-rapportage is het bieden van assurance en advies aan het senior management en het bestuur met betrekking tot de </w:t>
      </w:r>
      <w:proofErr w:type="spellStart"/>
      <w:r w:rsidRPr="00C66C75">
        <w:rPr>
          <w:rFonts w:asciiTheme="minorHAnsi" w:hAnsiTheme="minorHAnsi" w:cstheme="minorHAnsi"/>
          <w:sz w:val="22"/>
          <w:szCs w:val="22"/>
          <w:lang w:val="nl-NL"/>
        </w:rPr>
        <w:t>governance</w:t>
      </w:r>
      <w:proofErr w:type="spellEnd"/>
      <w:r w:rsidRPr="00C66C75">
        <w:rPr>
          <w:rFonts w:asciiTheme="minorHAnsi" w:hAnsiTheme="minorHAnsi" w:cstheme="minorHAnsi"/>
          <w:sz w:val="22"/>
          <w:szCs w:val="22"/>
          <w:lang w:val="nl-NL"/>
        </w:rPr>
        <w:t xml:space="preserve"> (Standaard 2110), risicomanagement (Standaard 2120) en beheersing (Standaard 2130) van de organisatie. Een diepgaand begrip van deze processen kan worden verkregen door de standaarden van de 2100-serie te implementeren. Standaard 2060 identificeert de verantwoordelijkheid van de CAE voor het rapporteren van belangrijke risico- en </w:t>
      </w:r>
      <w:proofErr w:type="spellStart"/>
      <w:r w:rsidRPr="00C66C75">
        <w:rPr>
          <w:rFonts w:asciiTheme="minorHAnsi" w:hAnsiTheme="minorHAnsi" w:cstheme="minorHAnsi"/>
          <w:sz w:val="22"/>
          <w:szCs w:val="22"/>
          <w:lang w:val="nl-NL"/>
        </w:rPr>
        <w:t>beheerskwesties</w:t>
      </w:r>
      <w:proofErr w:type="spellEnd"/>
      <w:r w:rsidRPr="00C66C75">
        <w:rPr>
          <w:rFonts w:asciiTheme="minorHAnsi" w:hAnsiTheme="minorHAnsi" w:cstheme="minorHAnsi"/>
          <w:sz w:val="22"/>
          <w:szCs w:val="22"/>
          <w:lang w:val="nl-NL"/>
        </w:rPr>
        <w:t xml:space="preserve"> die de organisatie en haar vermogen om haar doelstellingen te bereiken nadelig kunnen beïnvloeden. Belangrijke kwesties zijn de kwesties die de aandacht van het senior management en het bestuur vereisen. Deze kunnen belangenverstrengelingen, zwakke punten in controles, fouten, fraude, illegale handelingen, </w:t>
      </w:r>
      <w:proofErr w:type="spellStart"/>
      <w:r w:rsidRPr="00C66C75">
        <w:rPr>
          <w:rFonts w:asciiTheme="minorHAnsi" w:hAnsiTheme="minorHAnsi" w:cstheme="minorHAnsi"/>
          <w:sz w:val="22"/>
          <w:szCs w:val="22"/>
          <w:lang w:val="nl-NL"/>
        </w:rPr>
        <w:t>ondoeltreffendheid</w:t>
      </w:r>
      <w:proofErr w:type="spellEnd"/>
      <w:r w:rsidRPr="00C66C75">
        <w:rPr>
          <w:rFonts w:asciiTheme="minorHAnsi" w:hAnsiTheme="minorHAnsi" w:cstheme="minorHAnsi"/>
          <w:sz w:val="22"/>
          <w:szCs w:val="22"/>
          <w:lang w:val="nl-NL"/>
        </w:rPr>
        <w:t xml:space="preserve"> en inefficiëntie omvatten. </w:t>
      </w:r>
    </w:p>
    <w:p w:rsidR="002F57B5" w:rsidRPr="00C66C75" w:rsidRDefault="00AF1EF5" w:rsidP="00C66C7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Wanneer de CAE van mening is dat het senior management een risiconiveau heeft aanvaard dat ontoelaatbaar zou kunnen zijn voor de organisatie, dient de CAE de kwestie eerst te bespreken met het senior management. Indien de CAE en het senior management de kwestie niet kunnen oplossen, geeft Standaard 2600 de CAE opdracht de kwestie aan het bestuur te communiceren. Indien deze kwesties te dringend zijn om te wachten tot een geplande bestuursvergadering (bv., een grote fraude), dan doet de CAE er goed aan om afspraken te maken om eerder te communiceren</w:t>
      </w:r>
      <w:r w:rsidR="00E90A08" w:rsidRPr="00C66C75">
        <w:rPr>
          <w:rFonts w:asciiTheme="minorHAnsi" w:hAnsiTheme="minorHAnsi" w:cstheme="minorHAnsi"/>
          <w:sz w:val="22"/>
          <w:szCs w:val="22"/>
          <w:lang w:val="nl-NL"/>
        </w:rPr>
        <w:t>.</w:t>
      </w:r>
    </w:p>
    <w:p w:rsidR="002F57B5" w:rsidRPr="00C66C75" w:rsidRDefault="00685768" w:rsidP="002F57B5">
      <w:pPr>
        <w:pStyle w:val="TemplateHeadline"/>
        <w:rPr>
          <w:rFonts w:asciiTheme="minorHAnsi" w:hAnsiTheme="minorHAnsi" w:cstheme="minorHAnsi"/>
          <w:lang w:val="nl-NL"/>
        </w:rPr>
      </w:pPr>
      <w:r w:rsidRPr="00C66C75">
        <w:rPr>
          <w:rFonts w:asciiTheme="minorHAnsi" w:hAnsiTheme="minorHAnsi" w:cstheme="minorHAnsi"/>
          <w:lang w:val="nl-NL"/>
        </w:rPr>
        <w:lastRenderedPageBreak/>
        <w:t>Overwegingen b</w:t>
      </w:r>
      <w:r w:rsidR="002F57B5" w:rsidRPr="00C66C75">
        <w:rPr>
          <w:rFonts w:asciiTheme="minorHAnsi" w:hAnsiTheme="minorHAnsi" w:cstheme="minorHAnsi"/>
          <w:lang w:val="nl-NL"/>
        </w:rPr>
        <w:t>ij het aantonen van de naleving</w:t>
      </w:r>
    </w:p>
    <w:p w:rsidR="00443735" w:rsidRPr="00C66C75" w:rsidRDefault="00AF1EF5" w:rsidP="00443735">
      <w:pPr>
        <w:pStyle w:val="TemplateBodyText"/>
        <w:rPr>
          <w:rFonts w:asciiTheme="minorHAnsi" w:hAnsiTheme="minorHAnsi" w:cstheme="minorHAnsi"/>
          <w:sz w:val="22"/>
          <w:szCs w:val="22"/>
          <w:lang w:val="nl-NL"/>
        </w:rPr>
      </w:pPr>
      <w:r w:rsidRPr="00C66C75">
        <w:rPr>
          <w:rFonts w:asciiTheme="minorHAnsi" w:hAnsiTheme="minorHAnsi" w:cstheme="minorHAnsi"/>
          <w:sz w:val="22"/>
          <w:szCs w:val="22"/>
          <w:lang w:val="nl-NL"/>
        </w:rPr>
        <w:t xml:space="preserve">Besprekingen van de CAE met het senior management en het bestuur — met betrekking tot de inhoud van het charter, de prestaties van de internal auditfunctie ten opzichte van het auditplan en belangrijke risico's of </w:t>
      </w:r>
      <w:proofErr w:type="spellStart"/>
      <w:r w:rsidRPr="00C66C75">
        <w:rPr>
          <w:rFonts w:asciiTheme="minorHAnsi" w:hAnsiTheme="minorHAnsi" w:cstheme="minorHAnsi"/>
          <w:sz w:val="22"/>
          <w:szCs w:val="22"/>
          <w:lang w:val="nl-NL"/>
        </w:rPr>
        <w:t>beheerskwesties</w:t>
      </w:r>
      <w:proofErr w:type="spellEnd"/>
      <w:r w:rsidRPr="00C66C75">
        <w:rPr>
          <w:rFonts w:asciiTheme="minorHAnsi" w:hAnsiTheme="minorHAnsi" w:cstheme="minorHAnsi"/>
          <w:sz w:val="22"/>
          <w:szCs w:val="22"/>
          <w:lang w:val="nl-NL"/>
        </w:rPr>
        <w:t xml:space="preserve"> — kunnen worden gedocumenteerd in agenda's en notulen van vergaderingen met het bestuur en senior management. Besprekingen tussen deze partijen kunnen ook worden gedocumenteerd in rapporten en presentaties met bijgevoegde distributielijsten. Notulen van ad hoc vergaderingen en documentatie van rapporten en andere communicaties die elektronisch worden verzonden, kunnen ook aangeven dat aan Standaard 2060 is voldaan. Onderzoeksresultaten van het bestuur en senior management en prestatiebeoordelingen van de CAE kunnen feedback bevatten die de kwaliteit en effectiviteit van de communicatie van de CAE met betrekking tot deze standaard aangeeft. De CAE kan ook een checklist voor communicatie bijhouden, die de frequentie van rapportage- en goedkeuringsvereisten documenteert</w:t>
      </w:r>
      <w:r w:rsidR="00443735" w:rsidRPr="00C66C75">
        <w:rPr>
          <w:rFonts w:asciiTheme="minorHAnsi" w:hAnsiTheme="minorHAnsi" w:cstheme="minorHAnsi"/>
          <w:sz w:val="22"/>
          <w:szCs w:val="22"/>
          <w:lang w:val="nl-NL"/>
        </w:rPr>
        <w:t>.</w:t>
      </w:r>
    </w:p>
    <w:p w:rsidR="002F57B5" w:rsidRPr="00C66C75" w:rsidRDefault="00685768" w:rsidP="00443735">
      <w:pPr>
        <w:pStyle w:val="TemplateBodyText"/>
        <w:rPr>
          <w:rFonts w:asciiTheme="minorHAnsi" w:hAnsiTheme="minorHAnsi" w:cstheme="minorHAnsi"/>
          <w:lang w:val="nl-NL"/>
        </w:rPr>
      </w:pPr>
      <w:r w:rsidRPr="00C66C75">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margin-left:452.8pt;margin-top:303.75pt;width:7in;height:40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C66C75"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D443D">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D443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93941" w:rsidRPr="00D93941">
                            <w:rPr>
                              <w:rFonts w:ascii="Arial" w:hAnsi="Arial" w:cs="Arial"/>
                              <w:color w:val="0F1F4B"/>
                              <w:lang w:val="nl-NL"/>
                            </w:rPr>
                            <w:t xml:space="preserve">2060 </w:t>
                          </w:r>
                          <w:r w:rsidR="00C66C75">
                            <w:rPr>
                              <w:rFonts w:ascii="Arial" w:hAnsi="Arial" w:cs="Arial"/>
                              <w:color w:val="0F1F4B"/>
                              <w:lang w:val="nl-NL"/>
                            </w:rPr>
                            <w:t>-</w:t>
                          </w:r>
                          <w:r w:rsidR="00D93941" w:rsidRPr="00D93941">
                            <w:rPr>
                              <w:rFonts w:ascii="Arial" w:hAnsi="Arial" w:cs="Arial"/>
                              <w:color w:val="0F1F4B"/>
                              <w:lang w:val="nl-NL"/>
                            </w:rPr>
                            <w:t xml:space="preserve"> Rapportering aan het senior management en het bestuur</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93941" w:rsidRPr="00D93941">
                      <w:rPr>
                        <w:rFonts w:ascii="Arial" w:hAnsi="Arial" w:cs="Arial"/>
                        <w:color w:val="0F1F4B"/>
                        <w:lang w:val="nl-NL"/>
                      </w:rPr>
                      <w:t xml:space="preserve">2060 </w:t>
                    </w:r>
                    <w:r w:rsidR="00C66C75">
                      <w:rPr>
                        <w:rFonts w:ascii="Arial" w:hAnsi="Arial" w:cs="Arial"/>
                        <w:color w:val="0F1F4B"/>
                        <w:lang w:val="nl-NL"/>
                      </w:rPr>
                      <w:t>-</w:t>
                    </w:r>
                    <w:r w:rsidR="00D93941" w:rsidRPr="00D93941">
                      <w:rPr>
                        <w:rFonts w:ascii="Arial" w:hAnsi="Arial" w:cs="Arial"/>
                        <w:color w:val="0F1F4B"/>
                        <w:lang w:val="nl-NL"/>
                      </w:rPr>
                      <w:t xml:space="preserve"> Rapportering aan het senior management en het bestuur</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F57B5"/>
    <w:rsid w:val="00443735"/>
    <w:rsid w:val="004D443D"/>
    <w:rsid w:val="005A0CAD"/>
    <w:rsid w:val="005C501B"/>
    <w:rsid w:val="00665553"/>
    <w:rsid w:val="00685768"/>
    <w:rsid w:val="007270E2"/>
    <w:rsid w:val="0081412E"/>
    <w:rsid w:val="008F2569"/>
    <w:rsid w:val="0097657B"/>
    <w:rsid w:val="009E7937"/>
    <w:rsid w:val="00A96503"/>
    <w:rsid w:val="00AA0CBD"/>
    <w:rsid w:val="00AE0922"/>
    <w:rsid w:val="00AF1EF5"/>
    <w:rsid w:val="00BC3D33"/>
    <w:rsid w:val="00C6368B"/>
    <w:rsid w:val="00C66C75"/>
    <w:rsid w:val="00D93941"/>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paragraph" w:styleId="Ondertitel">
    <w:name w:val="Subtitle"/>
    <w:basedOn w:val="TemplateBodyText"/>
    <w:next w:val="Standaard"/>
    <w:link w:val="OndertitelChar"/>
    <w:uiPriority w:val="11"/>
    <w:qFormat/>
    <w:rsid w:val="00AF1EF5"/>
    <w:pPr>
      <w:numPr>
        <w:ilvl w:val="1"/>
      </w:numPr>
      <w:tabs>
        <w:tab w:val="left" w:pos="4320"/>
      </w:tabs>
      <w:suppressAutoHyphens w:val="0"/>
      <w:spacing w:before="360" w:line="360" w:lineRule="atLeast"/>
    </w:pPr>
    <w:rPr>
      <w:color w:val="006EC8"/>
      <w:sz w:val="28"/>
      <w:szCs w:val="22"/>
    </w:rPr>
  </w:style>
  <w:style w:type="character" w:customStyle="1" w:styleId="OndertitelChar">
    <w:name w:val="Ondertitel Char"/>
    <w:basedOn w:val="Standaardalinea-lettertype"/>
    <w:link w:val="Ondertitel"/>
    <w:uiPriority w:val="11"/>
    <w:rsid w:val="00AF1EF5"/>
    <w:rPr>
      <w:rFonts w:ascii="ArialMT" w:hAnsi="ArialMT" w:cs="ArialMT"/>
      <w:color w:val="006EC8"/>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33D1A5-1485-4DE5-AE28-EBE45BF4974B}">
  <ds:schemaRefs>
    <ds:schemaRef ds:uri="http://schemas.openxmlformats.org/officeDocument/2006/bibliography"/>
  </ds:schemaRefs>
</ds:datastoreItem>
</file>

<file path=customXml/itemProps2.xml><?xml version="1.0" encoding="utf-8"?>
<ds:datastoreItem xmlns:ds="http://schemas.openxmlformats.org/officeDocument/2006/customXml" ds:itemID="{8F578698-E97E-4FDC-8DCC-B50D301DCCB5}"/>
</file>

<file path=customXml/itemProps3.xml><?xml version="1.0" encoding="utf-8"?>
<ds:datastoreItem xmlns:ds="http://schemas.openxmlformats.org/officeDocument/2006/customXml" ds:itemID="{BCF0FE8D-6E71-4AE8-B1F5-7B8D8E9134E2}"/>
</file>

<file path=customXml/itemProps4.xml><?xml version="1.0" encoding="utf-8"?>
<ds:datastoreItem xmlns:ds="http://schemas.openxmlformats.org/officeDocument/2006/customXml" ds:itemID="{CDECA845-8C37-4DE1-A8FF-0FD067714933}"/>
</file>

<file path=docProps/app.xml><?xml version="1.0" encoding="utf-8"?>
<Properties xmlns="http://schemas.openxmlformats.org/officeDocument/2006/extended-properties" xmlns:vt="http://schemas.openxmlformats.org/officeDocument/2006/docPropsVTypes">
  <Template>10041221</Template>
  <TotalTime>8</TotalTime>
  <Pages>8</Pages>
  <Words>1715</Words>
  <Characters>9437</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8</cp:revision>
  <dcterms:created xsi:type="dcterms:W3CDTF">2017-08-18T13:33:00Z</dcterms:created>
  <dcterms:modified xsi:type="dcterms:W3CDTF">2017-08-21T13:37:00Z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