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805" w:rsidRPr="00BF19BE" w:rsidRDefault="003A7A71" w:rsidP="00AF61BE">
      <w:pPr>
        <w:pStyle w:val="TemplateHeadline"/>
        <w:rPr>
          <w:rFonts w:asciiTheme="minorHAnsi" w:hAnsiTheme="minorHAnsi" w:cstheme="minorHAnsi"/>
        </w:rPr>
      </w:pPr>
      <w:r w:rsidRPr="00BF19BE">
        <w:rPr>
          <w:rFonts w:asciiTheme="minorHAnsi" w:hAnsiTheme="minorHAnsi" w:cstheme="minorHAnsi"/>
          <w:noProof/>
          <w:lang w:val="nl-NL" w:eastAsia="nl-NL"/>
        </w:rPr>
        <mc:AlternateContent>
          <mc:Choice Requires="wps">
            <w:drawing>
              <wp:anchor distT="2103120" distB="274320" distL="114300" distR="114300" simplePos="0" relativeHeight="251656192" behindDoc="0" locked="0" layoutInCell="1" allowOverlap="1" wp14:anchorId="3A1D1692" wp14:editId="08F7B2BD">
                <wp:simplePos x="0" y="0"/>
                <wp:positionH relativeFrom="margin">
                  <wp:posOffset>0</wp:posOffset>
                </wp:positionH>
                <wp:positionV relativeFrom="margin">
                  <wp:posOffset>1514475</wp:posOffset>
                </wp:positionV>
                <wp:extent cx="6400800" cy="58864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8864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61C77" w:rsidRPr="00D24D8B" w:rsidRDefault="00D54AEC" w:rsidP="00B61C77">
                            <w:pPr>
                              <w:pStyle w:val="TemplateHeadline"/>
                              <w:rPr>
                                <w:rFonts w:asciiTheme="majorHAnsi" w:hAnsiTheme="majorHAnsi" w:cstheme="majorHAnsi"/>
                              </w:rPr>
                            </w:pPr>
                            <w:r>
                              <w:rPr>
                                <w:rFonts w:asciiTheme="majorHAnsi" w:hAnsiTheme="majorHAnsi" w:cstheme="majorHAnsi"/>
                                <w:lang w:val="nl-NL"/>
                              </w:rPr>
                              <w:t>Standaard 1130 -</w:t>
                            </w:r>
                            <w:r w:rsidR="003A7A71">
                              <w:rPr>
                                <w:rFonts w:asciiTheme="majorHAnsi" w:hAnsiTheme="majorHAnsi" w:cstheme="majorHAnsi"/>
                                <w:lang w:val="nl-NL"/>
                              </w:rPr>
                              <w:t xml:space="preserve"> </w:t>
                            </w:r>
                            <w:r>
                              <w:rPr>
                                <w:rFonts w:asciiTheme="majorHAnsi" w:hAnsiTheme="majorHAnsi" w:cstheme="majorHAnsi"/>
                                <w:lang w:val="nl-NL"/>
                              </w:rPr>
                              <w:t>Aantasting van onafhankelijkheid of objectiviteit</w:t>
                            </w:r>
                          </w:p>
                          <w:p w:rsidR="00780FBC" w:rsidRPr="00BF19BE" w:rsidRDefault="00D54AEC" w:rsidP="00575679">
                            <w:pPr>
                              <w:pStyle w:val="RedBullets"/>
                              <w:numPr>
                                <w:ilvl w:val="0"/>
                                <w:numId w:val="0"/>
                              </w:numPr>
                              <w:rPr>
                                <w:rFonts w:asciiTheme="majorHAnsi" w:hAnsiTheme="majorHAnsi" w:cstheme="majorHAnsi"/>
                                <w:sz w:val="22"/>
                                <w:szCs w:val="22"/>
                              </w:rPr>
                            </w:pPr>
                            <w:r w:rsidRPr="00BF19BE">
                              <w:rPr>
                                <w:rFonts w:asciiTheme="majorHAnsi" w:hAnsiTheme="majorHAnsi" w:cstheme="majorHAnsi"/>
                                <w:sz w:val="22"/>
                                <w:szCs w:val="22"/>
                                <w:lang w:val="nl-NL"/>
                              </w:rPr>
                              <w:t>In geval van een feitelijke of ogenschijnlijke aantasting van de onafhankelijkheid of objectiviteit, moeten de details daarvan medegedeeld worden aan de relevante betrokkenen. De aard van de mededeling is afhankelijk van de mate van aantasting.</w:t>
                            </w:r>
                          </w:p>
                          <w:p w:rsidR="00575679" w:rsidRPr="00BF19BE" w:rsidRDefault="00BF19BE" w:rsidP="00575679">
                            <w:pPr>
                              <w:pStyle w:val="RedBullets"/>
                              <w:numPr>
                                <w:ilvl w:val="0"/>
                                <w:numId w:val="0"/>
                              </w:numPr>
                              <w:rPr>
                                <w:rFonts w:asciiTheme="majorHAnsi" w:hAnsiTheme="majorHAnsi" w:cstheme="majorHAnsi"/>
                                <w:sz w:val="22"/>
                                <w:szCs w:val="22"/>
                              </w:rPr>
                            </w:pPr>
                          </w:p>
                          <w:p w:rsidR="00780FBC" w:rsidRPr="00BF19BE" w:rsidRDefault="00D54AEC" w:rsidP="00575679">
                            <w:pPr>
                              <w:pStyle w:val="RedBullets"/>
                              <w:numPr>
                                <w:ilvl w:val="0"/>
                                <w:numId w:val="0"/>
                              </w:numPr>
                              <w:rPr>
                                <w:rFonts w:ascii="Arial" w:hAnsi="Arial" w:cstheme="majorHAnsi"/>
                                <w:b/>
                                <w:bCs/>
                                <w:sz w:val="22"/>
                                <w:szCs w:val="22"/>
                                <w:lang w:val="nl-NL"/>
                              </w:rPr>
                            </w:pPr>
                            <w:r w:rsidRPr="00BF19BE">
                              <w:rPr>
                                <w:rFonts w:ascii="Arial" w:hAnsi="Arial" w:cstheme="majorHAnsi"/>
                                <w:b/>
                                <w:bCs/>
                                <w:sz w:val="22"/>
                                <w:szCs w:val="22"/>
                                <w:lang w:val="nl-NL"/>
                              </w:rPr>
                              <w:t>Interpretatie:</w:t>
                            </w:r>
                          </w:p>
                          <w:p w:rsidR="00BF19BE" w:rsidRPr="00BF19BE" w:rsidRDefault="00BF19BE" w:rsidP="00575679">
                            <w:pPr>
                              <w:pStyle w:val="RedBullets"/>
                              <w:numPr>
                                <w:ilvl w:val="0"/>
                                <w:numId w:val="0"/>
                              </w:numPr>
                              <w:rPr>
                                <w:rFonts w:asciiTheme="majorHAnsi" w:hAnsiTheme="majorHAnsi" w:cstheme="majorHAnsi"/>
                                <w:b/>
                                <w:sz w:val="22"/>
                                <w:szCs w:val="22"/>
                              </w:rPr>
                            </w:pPr>
                          </w:p>
                          <w:p w:rsidR="00E644AB" w:rsidRPr="00BF19BE" w:rsidRDefault="00D54AEC" w:rsidP="00E644AB">
                            <w:pPr>
                              <w:pStyle w:val="RedBullets"/>
                              <w:numPr>
                                <w:ilvl w:val="0"/>
                                <w:numId w:val="0"/>
                              </w:numPr>
                              <w:rPr>
                                <w:rFonts w:asciiTheme="majorHAnsi" w:hAnsiTheme="majorHAnsi" w:cstheme="majorHAnsi"/>
                                <w:i/>
                                <w:sz w:val="22"/>
                                <w:szCs w:val="22"/>
                              </w:rPr>
                            </w:pPr>
                            <w:r w:rsidRPr="00BF19BE">
                              <w:rPr>
                                <w:rFonts w:ascii="Arial" w:hAnsi="Arial" w:cstheme="majorHAnsi"/>
                                <w:i/>
                                <w:iCs/>
                                <w:sz w:val="22"/>
                                <w:szCs w:val="22"/>
                                <w:lang w:val="nl-NL"/>
                              </w:rPr>
                              <w:t>Aantasting van de onafhankelijkheid binnen de organisatie en de individuele objectiviteit omvat, maar blijft niet beperkt tot, persoonlijke belangenverstrengeling, beperkingen in de reikwijdte, beperkingen in toegang tot documenten, personeel en bedrijfsmiddelen, alsmede beperkingen in beschikbare middelen, zoals financiering.</w:t>
                            </w:r>
                          </w:p>
                          <w:p w:rsidR="00C4113E" w:rsidRPr="00BF19BE" w:rsidRDefault="00BF19BE" w:rsidP="00E644AB">
                            <w:pPr>
                              <w:pStyle w:val="RedBullets"/>
                              <w:numPr>
                                <w:ilvl w:val="0"/>
                                <w:numId w:val="0"/>
                              </w:numPr>
                              <w:rPr>
                                <w:rFonts w:asciiTheme="majorHAnsi" w:hAnsiTheme="majorHAnsi" w:cstheme="majorHAnsi"/>
                                <w:i/>
                                <w:sz w:val="22"/>
                                <w:szCs w:val="22"/>
                              </w:rPr>
                            </w:pPr>
                          </w:p>
                          <w:p w:rsidR="00B01FFE" w:rsidRPr="00BF19BE" w:rsidRDefault="00D54AEC" w:rsidP="00E644AB">
                            <w:pPr>
                              <w:pStyle w:val="RedBullets"/>
                              <w:numPr>
                                <w:ilvl w:val="0"/>
                                <w:numId w:val="0"/>
                              </w:numPr>
                              <w:rPr>
                                <w:rFonts w:asciiTheme="majorHAnsi" w:hAnsiTheme="majorHAnsi" w:cstheme="majorHAnsi"/>
                                <w:i/>
                                <w:sz w:val="22"/>
                                <w:szCs w:val="22"/>
                              </w:rPr>
                            </w:pPr>
                            <w:r w:rsidRPr="00BF19BE">
                              <w:rPr>
                                <w:rFonts w:ascii="Arial" w:hAnsi="Arial" w:cstheme="majorHAnsi"/>
                                <w:i/>
                                <w:iCs/>
                                <w:sz w:val="22"/>
                                <w:szCs w:val="22"/>
                                <w:lang w:val="nl-NL"/>
                              </w:rPr>
                              <w:t>De vraag wie de relevante betrokkenen zijn en aan wie de details van een aantasting van de onafhankelijkheid of objectiviteit moeten worden gemeld, is afhankelijk van de verwachtingen ten aanzien van de internal auditfunctie en van de verantwoordelijkheid van het hoofd van de internal auditfunctie ten opzichte van het senior management en het bestuur zoals omschreven in het internal auditcharter, alsmede de aard van de aantasting.</w:t>
                            </w:r>
                          </w:p>
                          <w:p w:rsidR="00040805" w:rsidRPr="00BF19BE" w:rsidRDefault="00BF19BE" w:rsidP="00E644AB">
                            <w:pPr>
                              <w:pStyle w:val="RedBullets"/>
                              <w:numPr>
                                <w:ilvl w:val="0"/>
                                <w:numId w:val="0"/>
                              </w:numPr>
                              <w:rPr>
                                <w:rFonts w:asciiTheme="majorHAnsi" w:hAnsiTheme="majorHAnsi" w:cstheme="majorHAnsi"/>
                                <w:i/>
                                <w:sz w:val="22"/>
                                <w:szCs w:val="22"/>
                              </w:rPr>
                            </w:pPr>
                          </w:p>
                          <w:p w:rsidR="00040805" w:rsidRPr="00BF19BE" w:rsidRDefault="00D54AEC" w:rsidP="00040805">
                            <w:pPr>
                              <w:pStyle w:val="RedBullets"/>
                              <w:numPr>
                                <w:ilvl w:val="0"/>
                                <w:numId w:val="0"/>
                              </w:numPr>
                              <w:jc w:val="right"/>
                              <w:rPr>
                                <w:rFonts w:asciiTheme="majorHAnsi" w:hAnsiTheme="majorHAnsi" w:cstheme="majorHAnsi"/>
                                <w:sz w:val="22"/>
                                <w:szCs w:val="22"/>
                              </w:rPr>
                            </w:pPr>
                            <w:r w:rsidRPr="00BF19BE">
                              <w:rPr>
                                <w:rFonts w:asciiTheme="majorHAnsi" w:hAnsiTheme="majorHAnsi" w:cstheme="majorHAnsi"/>
                                <w:sz w:val="22"/>
                                <w:szCs w:val="22"/>
                                <w:lang w:val="nl-NL"/>
                              </w:rPr>
                              <w:t xml:space="preserve">Herziene </w:t>
                            </w:r>
                            <w:r w:rsidRPr="00BF19BE">
                              <w:rPr>
                                <w:rFonts w:asciiTheme="majorHAnsi" w:hAnsiTheme="majorHAnsi" w:cstheme="majorHAnsi"/>
                                <w:i/>
                                <w:sz w:val="22"/>
                                <w:szCs w:val="22"/>
                                <w:lang w:val="nl-NL"/>
                              </w:rPr>
                              <w:t>Standaarden</w:t>
                            </w:r>
                            <w:r w:rsidRPr="00BF19BE">
                              <w:rPr>
                                <w:rFonts w:asciiTheme="majorHAnsi" w:hAnsiTheme="majorHAnsi" w:cstheme="majorHAnsi"/>
                                <w:sz w:val="22"/>
                                <w:szCs w:val="22"/>
                                <w:lang w:val="nl-NL"/>
                              </w:rPr>
                              <w:t xml:space="preserve"> die per 1 januari 2017 van kracht zijn </w:t>
                            </w:r>
                          </w:p>
                          <w:p w:rsidR="00040805" w:rsidRDefault="00BF19BE" w:rsidP="00E644AB">
                            <w:pPr>
                              <w:pStyle w:val="RedBullets"/>
                              <w:numPr>
                                <w:ilvl w:val="0"/>
                                <w:numId w:val="0"/>
                              </w:numPr>
                              <w:rPr>
                                <w:rFonts w:asciiTheme="majorHAnsi" w:hAnsiTheme="majorHAnsi" w:cstheme="majorHAnsi"/>
                                <w:i/>
                              </w:rPr>
                            </w:pPr>
                          </w:p>
                          <w:p w:rsidR="00040805" w:rsidRPr="00575679" w:rsidRDefault="00BF19BE" w:rsidP="00E644AB">
                            <w:pPr>
                              <w:pStyle w:val="RedBullets"/>
                              <w:numPr>
                                <w:ilvl w:val="0"/>
                                <w:numId w:val="0"/>
                              </w:numPr>
                              <w:rPr>
                                <w:rFonts w:asciiTheme="majorHAnsi" w:hAnsiTheme="majorHAnsi" w:cstheme="majorHAnsi"/>
                                <w:i/>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1D1692" id="_x0000_t202" coordsize="21600,21600" o:spt="202" path="m,l,21600r21600,l21600,xe">
                <v:stroke joinstyle="miter"/>
                <v:path gradientshapeok="t" o:connecttype="rect"/>
              </v:shapetype>
              <v:shape id="Text Box 5" o:spid="_x0000_s1026" type="#_x0000_t202" style="position:absolute;margin-left:0;margin-top:119.25pt;width:7in;height:463.5pt;z-index:251656192;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" fillcolor="#d8d8d8 [2732]" stroked="f">
                <v:textbox inset="14.4pt,23.76pt,14.4pt,23.76pt">
                  <w:txbxContent>
                    <w:p w:rsidR="00B61C77" w:rsidRPr="00D24D8B" w:rsidRDefault="00D54AEC" w:rsidP="00B61C77">
                      <w:pPr>
                        <w:pStyle w:val="TemplateHeadline"/>
                        <w:rPr>
                          <w:rFonts w:asciiTheme="majorHAnsi" w:hAnsiTheme="majorHAnsi" w:cstheme="majorHAnsi"/>
                        </w:rPr>
                      </w:pPr>
                      <w:r>
                        <w:rPr>
                          <w:rFonts w:asciiTheme="majorHAnsi" w:hAnsiTheme="majorHAnsi" w:cstheme="majorHAnsi"/>
                          <w:lang w:val="nl-NL"/>
                        </w:rPr>
                        <w:t>Standaard 1130 -</w:t>
                      </w:r>
                      <w:r w:rsidR="003A7A71">
                        <w:rPr>
                          <w:rFonts w:asciiTheme="majorHAnsi" w:hAnsiTheme="majorHAnsi" w:cstheme="majorHAnsi"/>
                          <w:lang w:val="nl-NL"/>
                        </w:rPr>
                        <w:t xml:space="preserve"> </w:t>
                      </w:r>
                      <w:r>
                        <w:rPr>
                          <w:rFonts w:asciiTheme="majorHAnsi" w:hAnsiTheme="majorHAnsi" w:cstheme="majorHAnsi"/>
                          <w:lang w:val="nl-NL"/>
                        </w:rPr>
                        <w:t>Aantasting van onafhankelijkheid of objectiviteit</w:t>
                      </w:r>
                    </w:p>
                    <w:p w:rsidR="00780FBC" w:rsidRPr="00BF19BE" w:rsidRDefault="00D54AEC" w:rsidP="00575679">
                      <w:pPr>
                        <w:pStyle w:val="RedBullets"/>
                        <w:numPr>
                          <w:ilvl w:val="0"/>
                          <w:numId w:val="0"/>
                        </w:numPr>
                        <w:rPr>
                          <w:rFonts w:asciiTheme="majorHAnsi" w:hAnsiTheme="majorHAnsi" w:cstheme="majorHAnsi"/>
                          <w:sz w:val="22"/>
                          <w:szCs w:val="22"/>
                        </w:rPr>
                      </w:pPr>
                      <w:r w:rsidRPr="00BF19BE">
                        <w:rPr>
                          <w:rFonts w:asciiTheme="majorHAnsi" w:hAnsiTheme="majorHAnsi" w:cstheme="majorHAnsi"/>
                          <w:sz w:val="22"/>
                          <w:szCs w:val="22"/>
                          <w:lang w:val="nl-NL"/>
                        </w:rPr>
                        <w:t>In geval van een feitelijke of ogenschijnlijke aantasting van de onafhankelijkheid of objectiviteit, moeten de details daarvan medegedeeld worden aan de relevante betrokkenen. De aard van de mededeling is afhankelijk van de mate van aantasting.</w:t>
                      </w:r>
                    </w:p>
                    <w:p w:rsidR="00575679" w:rsidRPr="00BF19BE" w:rsidRDefault="00BF19BE" w:rsidP="00575679">
                      <w:pPr>
                        <w:pStyle w:val="RedBullets"/>
                        <w:numPr>
                          <w:ilvl w:val="0"/>
                          <w:numId w:val="0"/>
                        </w:numPr>
                        <w:rPr>
                          <w:rFonts w:asciiTheme="majorHAnsi" w:hAnsiTheme="majorHAnsi" w:cstheme="majorHAnsi"/>
                          <w:sz w:val="22"/>
                          <w:szCs w:val="22"/>
                        </w:rPr>
                      </w:pPr>
                    </w:p>
                    <w:p w:rsidR="00780FBC" w:rsidRPr="00BF19BE" w:rsidRDefault="00D54AEC" w:rsidP="00575679">
                      <w:pPr>
                        <w:pStyle w:val="RedBullets"/>
                        <w:numPr>
                          <w:ilvl w:val="0"/>
                          <w:numId w:val="0"/>
                        </w:numPr>
                        <w:rPr>
                          <w:rFonts w:ascii="Arial" w:hAnsi="Arial" w:cstheme="majorHAnsi"/>
                          <w:b/>
                          <w:bCs/>
                          <w:sz w:val="22"/>
                          <w:szCs w:val="22"/>
                          <w:lang w:val="nl-NL"/>
                        </w:rPr>
                      </w:pPr>
                      <w:r w:rsidRPr="00BF19BE">
                        <w:rPr>
                          <w:rFonts w:ascii="Arial" w:hAnsi="Arial" w:cstheme="majorHAnsi"/>
                          <w:b/>
                          <w:bCs/>
                          <w:sz w:val="22"/>
                          <w:szCs w:val="22"/>
                          <w:lang w:val="nl-NL"/>
                        </w:rPr>
                        <w:t>Interpretatie:</w:t>
                      </w:r>
                    </w:p>
                    <w:p w:rsidR="00BF19BE" w:rsidRPr="00BF19BE" w:rsidRDefault="00BF19BE" w:rsidP="00575679">
                      <w:pPr>
                        <w:pStyle w:val="RedBullets"/>
                        <w:numPr>
                          <w:ilvl w:val="0"/>
                          <w:numId w:val="0"/>
                        </w:numPr>
                        <w:rPr>
                          <w:rFonts w:asciiTheme="majorHAnsi" w:hAnsiTheme="majorHAnsi" w:cstheme="majorHAnsi"/>
                          <w:b/>
                          <w:sz w:val="22"/>
                          <w:szCs w:val="22"/>
                        </w:rPr>
                      </w:pPr>
                    </w:p>
                    <w:p w:rsidR="00E644AB" w:rsidRPr="00BF19BE" w:rsidRDefault="00D54AEC" w:rsidP="00E644AB">
                      <w:pPr>
                        <w:pStyle w:val="RedBullets"/>
                        <w:numPr>
                          <w:ilvl w:val="0"/>
                          <w:numId w:val="0"/>
                        </w:numPr>
                        <w:rPr>
                          <w:rFonts w:asciiTheme="majorHAnsi" w:hAnsiTheme="majorHAnsi" w:cstheme="majorHAnsi"/>
                          <w:i/>
                          <w:sz w:val="22"/>
                          <w:szCs w:val="22"/>
                        </w:rPr>
                      </w:pPr>
                      <w:r w:rsidRPr="00BF19BE">
                        <w:rPr>
                          <w:rFonts w:ascii="Arial" w:hAnsi="Arial" w:cstheme="majorHAnsi"/>
                          <w:i/>
                          <w:iCs/>
                          <w:sz w:val="22"/>
                          <w:szCs w:val="22"/>
                          <w:lang w:val="nl-NL"/>
                        </w:rPr>
                        <w:t>Aantasting van de onafhankelijkheid binnen de organisatie en de individuele objectiviteit omvat, maar blijft niet beperkt tot, persoonlijke belangenverstrengeling, beperkingen in de reikwijdte, beperkingen in toegang tot documenten, personeel en bedrijfsmiddelen, alsmede beperkingen in beschikbare middelen, zoals financiering.</w:t>
                      </w:r>
                    </w:p>
                    <w:p w:rsidR="00C4113E" w:rsidRPr="00BF19BE" w:rsidRDefault="00BF19BE" w:rsidP="00E644AB">
                      <w:pPr>
                        <w:pStyle w:val="RedBullets"/>
                        <w:numPr>
                          <w:ilvl w:val="0"/>
                          <w:numId w:val="0"/>
                        </w:numPr>
                        <w:rPr>
                          <w:rFonts w:asciiTheme="majorHAnsi" w:hAnsiTheme="majorHAnsi" w:cstheme="majorHAnsi"/>
                          <w:i/>
                          <w:sz w:val="22"/>
                          <w:szCs w:val="22"/>
                        </w:rPr>
                      </w:pPr>
                    </w:p>
                    <w:p w:rsidR="00B01FFE" w:rsidRPr="00BF19BE" w:rsidRDefault="00D54AEC" w:rsidP="00E644AB">
                      <w:pPr>
                        <w:pStyle w:val="RedBullets"/>
                        <w:numPr>
                          <w:ilvl w:val="0"/>
                          <w:numId w:val="0"/>
                        </w:numPr>
                        <w:rPr>
                          <w:rFonts w:asciiTheme="majorHAnsi" w:hAnsiTheme="majorHAnsi" w:cstheme="majorHAnsi"/>
                          <w:i/>
                          <w:sz w:val="22"/>
                          <w:szCs w:val="22"/>
                        </w:rPr>
                      </w:pPr>
                      <w:r w:rsidRPr="00BF19BE">
                        <w:rPr>
                          <w:rFonts w:ascii="Arial" w:hAnsi="Arial" w:cstheme="majorHAnsi"/>
                          <w:i/>
                          <w:iCs/>
                          <w:sz w:val="22"/>
                          <w:szCs w:val="22"/>
                          <w:lang w:val="nl-NL"/>
                        </w:rPr>
                        <w:t>De vraag wie de relevante betrokkenen zijn en aan wie de details van een aantasting van de onafhankelijkheid of objectiviteit moeten worden gemeld, is afhankelijk van de verwachtingen ten aanzien van de internal auditfunctie en van de verantwoordelijkheid van het hoofd van de internal auditfunctie ten opzichte van het senior management en het bestuur zoals omschreven in het internal auditcharter, alsmede de aard van de aantasting.</w:t>
                      </w:r>
                    </w:p>
                    <w:p w:rsidR="00040805" w:rsidRPr="00BF19BE" w:rsidRDefault="00BF19BE" w:rsidP="00E644AB">
                      <w:pPr>
                        <w:pStyle w:val="RedBullets"/>
                        <w:numPr>
                          <w:ilvl w:val="0"/>
                          <w:numId w:val="0"/>
                        </w:numPr>
                        <w:rPr>
                          <w:rFonts w:asciiTheme="majorHAnsi" w:hAnsiTheme="majorHAnsi" w:cstheme="majorHAnsi"/>
                          <w:i/>
                          <w:sz w:val="22"/>
                          <w:szCs w:val="22"/>
                        </w:rPr>
                      </w:pPr>
                    </w:p>
                    <w:p w:rsidR="00040805" w:rsidRPr="00BF19BE" w:rsidRDefault="00D54AEC" w:rsidP="00040805">
                      <w:pPr>
                        <w:pStyle w:val="RedBullets"/>
                        <w:numPr>
                          <w:ilvl w:val="0"/>
                          <w:numId w:val="0"/>
                        </w:numPr>
                        <w:jc w:val="right"/>
                        <w:rPr>
                          <w:rFonts w:asciiTheme="majorHAnsi" w:hAnsiTheme="majorHAnsi" w:cstheme="majorHAnsi"/>
                          <w:sz w:val="22"/>
                          <w:szCs w:val="22"/>
                        </w:rPr>
                      </w:pPr>
                      <w:r w:rsidRPr="00BF19BE">
                        <w:rPr>
                          <w:rFonts w:asciiTheme="majorHAnsi" w:hAnsiTheme="majorHAnsi" w:cstheme="majorHAnsi"/>
                          <w:sz w:val="22"/>
                          <w:szCs w:val="22"/>
                          <w:lang w:val="nl-NL"/>
                        </w:rPr>
                        <w:t xml:space="preserve">Herziene </w:t>
                      </w:r>
                      <w:r w:rsidRPr="00BF19BE">
                        <w:rPr>
                          <w:rFonts w:asciiTheme="majorHAnsi" w:hAnsiTheme="majorHAnsi" w:cstheme="majorHAnsi"/>
                          <w:i/>
                          <w:sz w:val="22"/>
                          <w:szCs w:val="22"/>
                          <w:lang w:val="nl-NL"/>
                        </w:rPr>
                        <w:t>Standaarden</w:t>
                      </w:r>
                      <w:r w:rsidRPr="00BF19BE">
                        <w:rPr>
                          <w:rFonts w:asciiTheme="majorHAnsi" w:hAnsiTheme="majorHAnsi" w:cstheme="majorHAnsi"/>
                          <w:sz w:val="22"/>
                          <w:szCs w:val="22"/>
                          <w:lang w:val="nl-NL"/>
                        </w:rPr>
                        <w:t xml:space="preserve"> die per 1 januari 2017 van kracht zijn </w:t>
                      </w:r>
                    </w:p>
                    <w:p w:rsidR="00040805" w:rsidRDefault="00BF19BE" w:rsidP="00E644AB">
                      <w:pPr>
                        <w:pStyle w:val="RedBullets"/>
                        <w:numPr>
                          <w:ilvl w:val="0"/>
                          <w:numId w:val="0"/>
                        </w:numPr>
                        <w:rPr>
                          <w:rFonts w:asciiTheme="majorHAnsi" w:hAnsiTheme="majorHAnsi" w:cstheme="majorHAnsi"/>
                          <w:i/>
                        </w:rPr>
                      </w:pPr>
                    </w:p>
                    <w:p w:rsidR="00040805" w:rsidRPr="00575679" w:rsidRDefault="00BF19BE" w:rsidP="00E644AB">
                      <w:pPr>
                        <w:pStyle w:val="RedBullets"/>
                        <w:numPr>
                          <w:ilvl w:val="0"/>
                          <w:numId w:val="0"/>
                        </w:numPr>
                        <w:rPr>
                          <w:rFonts w:asciiTheme="majorHAnsi" w:hAnsiTheme="majorHAnsi" w:cstheme="majorHAnsi"/>
                          <w:i/>
                        </w:rPr>
                      </w:pPr>
                    </w:p>
                  </w:txbxContent>
                </v:textbox>
                <w10:wrap type="square" anchorx="margin" anchory="margin"/>
              </v:shape>
            </w:pict>
          </mc:Fallback>
        </mc:AlternateContent>
      </w:r>
      <w:r w:rsidR="00D54AEC" w:rsidRPr="00BF19BE">
        <w:rPr>
          <w:rFonts w:asciiTheme="minorHAnsi" w:hAnsiTheme="minorHAnsi" w:cstheme="minorHAnsi"/>
          <w:noProof/>
          <w:lang w:val="nl-NL" w:eastAsia="nl-NL"/>
        </w:rPr>
        <mc:AlternateContent>
          <mc:Choice Requires="wps">
            <w:drawing>
              <wp:anchor distT="0" distB="0" distL="114300" distR="114300" simplePos="0" relativeHeight="251659264" behindDoc="0" locked="0" layoutInCell="1" allowOverlap="1" wp14:anchorId="13B083DA" wp14:editId="75BEF72B">
                <wp:simplePos x="0" y="0"/>
                <wp:positionH relativeFrom="page">
                  <wp:posOffset>2466975</wp:posOffset>
                </wp:positionH>
                <wp:positionV relativeFrom="page">
                  <wp:posOffset>922020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E1DA2" w:rsidRPr="00E6381B" w:rsidRDefault="00D54AEC" w:rsidP="009E1DA2">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1130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3B083DA" id="Text Box 6" o:spid="_x0000_s1027" type="#_x0000_t202" style="position:absolute;margin-left:194.25pt;margin-top:72.6pt;width:342pt;height:126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" filled="f" stroked="f">
                <v:textbox>
                  <w:txbxContent>
                    <w:p w:rsidR="009E1DA2" w:rsidRPr="00E6381B" w:rsidRDefault="00D54AEC" w:rsidP="009E1DA2">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1130</w:t>
                      </w:r>
                    </w:p>
                  </w:txbxContent>
                </v:textbox>
                <w10:wrap type="square" anchorx="page" anchory="page"/>
              </v:shape>
            </w:pict>
          </mc:Fallback>
        </mc:AlternateContent>
      </w:r>
    </w:p>
    <w:p w:rsidR="00AF61BE" w:rsidRPr="00BF19BE" w:rsidRDefault="00D54AEC" w:rsidP="00AF61BE">
      <w:pPr>
        <w:pStyle w:val="TemplateHeadline"/>
        <w:rPr>
          <w:rFonts w:asciiTheme="minorHAnsi" w:hAnsiTheme="minorHAnsi" w:cstheme="minorHAnsi"/>
        </w:rPr>
      </w:pPr>
      <w:r w:rsidRPr="00BF19BE">
        <w:rPr>
          <w:rFonts w:asciiTheme="minorHAnsi" w:hAnsiTheme="minorHAnsi" w:cstheme="minorHAnsi"/>
          <w:lang w:val="nl-NL"/>
        </w:rPr>
        <w:lastRenderedPageBreak/>
        <w:t xml:space="preserve">Inleiding </w:t>
      </w:r>
    </w:p>
    <w:p w:rsidR="00B748EA"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t>Standaard 1130 schrijft voor dat het hoofd van de internal auditfunctie (Chief Audit Executive (CAE)) daadwerkelijke of ogenschijnlijke aantastingen van de onafhankelijkheid of objectiviteit moet melden. Daarom moet de CAE een goed inzicht hebben in de vereisten inzake onafhankelijkheid en objectiviteit zoals uiteengezet in de IIA-Gedragscode en Standaard 1100, 1110, 1111, 1112 en 1120. Door deze vereisten te communiceren aan het bestuur en het senior management, draagt de CAE er daarnaast aan bij dat zij zich bewust zijn van het essentiële belang van onafhankelijkheid en objectiviteit voor een effectieve internal auditfunctie. In het algemeen is het raadzaam dat het bestuur en senior management met de CAE bespreken hoe en aan wie aantastingen worden gemeld, wat afhankelijk is van de aard en mogelijke impact van de aantasting.</w:t>
      </w:r>
    </w:p>
    <w:p w:rsidR="00A04BF7"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t xml:space="preserve">Om de begrippen onafhankelijkheid en objectiviteit volledig begrijpen en het belang ervan inzien, is het belangrijk dat internal auditors de perspectieven van hun diverse stakeholders in aanmerking nemen, alsmede de omstandigheden die een daadwerkelijke of ogenschijnlijke aantasting van hun onafhankelijkheid of objectiviteit kunnen inhouden. Vaak stelt de CAE een intern beleidshandboek op dat een beschrijving bevat van de organisatorische onafhankelijkheid en de objectiviteit van internal auditors, de aard van de aantastingen daarvan, en hoe internal auditors met mogelijke aantastingen moeten omgaan. </w:t>
      </w:r>
      <w:r w:rsidRPr="00BF19BE">
        <w:rPr>
          <w:rFonts w:asciiTheme="minorHAnsi" w:hAnsiTheme="minorHAnsi" w:cstheme="minorHAnsi"/>
          <w:sz w:val="22"/>
          <w:szCs w:val="22"/>
          <w:lang w:val="nl-NL"/>
        </w:rPr>
        <w:br/>
      </w:r>
    </w:p>
    <w:p w:rsidR="00A04BF7" w:rsidRPr="00BF19BE" w:rsidRDefault="00D54AEC" w:rsidP="00A04BF7">
      <w:pPr>
        <w:pStyle w:val="TemplateHeadline"/>
        <w:rPr>
          <w:rFonts w:asciiTheme="minorHAnsi" w:hAnsiTheme="minorHAnsi" w:cstheme="minorHAnsi"/>
        </w:rPr>
      </w:pPr>
      <w:r w:rsidRPr="00BF19BE">
        <w:rPr>
          <w:rFonts w:asciiTheme="minorHAnsi" w:hAnsiTheme="minorHAnsi" w:cstheme="minorHAnsi"/>
          <w:lang w:val="nl-NL"/>
        </w:rPr>
        <w:t>Overwegingen bij de implementatie</w:t>
      </w:r>
    </w:p>
    <w:p w:rsidR="00B748EA"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t xml:space="preserve">Zoals gezegd, hanteren veel CAE's ten behoeve van het effectief managen van onafhankelijkheid en objectiviteit en aantastingen daarvan een intern beleidshandboek dat de verwachtingen en vereisten op dit vlak beschrijft. Naast definities van </w:t>
      </w:r>
      <w:r w:rsidRPr="00BF19BE">
        <w:rPr>
          <w:rFonts w:asciiTheme="minorHAnsi" w:hAnsiTheme="minorHAnsi" w:cstheme="minorHAnsi"/>
          <w:i/>
          <w:iCs/>
          <w:sz w:val="22"/>
          <w:szCs w:val="22"/>
          <w:lang w:val="nl-NL"/>
        </w:rPr>
        <w:t xml:space="preserve">onafhankelijkheid </w:t>
      </w:r>
      <w:r w:rsidRPr="00BF19BE">
        <w:rPr>
          <w:rFonts w:asciiTheme="minorHAnsi" w:hAnsiTheme="minorHAnsi" w:cstheme="minorHAnsi"/>
          <w:sz w:val="22"/>
          <w:szCs w:val="22"/>
          <w:lang w:val="nl-NL"/>
        </w:rPr>
        <w:t xml:space="preserve">en </w:t>
      </w:r>
      <w:r w:rsidRPr="00BF19BE">
        <w:rPr>
          <w:rFonts w:asciiTheme="minorHAnsi" w:hAnsiTheme="minorHAnsi" w:cstheme="minorHAnsi"/>
          <w:i/>
          <w:iCs/>
          <w:sz w:val="22"/>
          <w:szCs w:val="22"/>
          <w:lang w:val="nl-NL"/>
        </w:rPr>
        <w:t>objectiviteit</w:t>
      </w:r>
      <w:r w:rsidRPr="00BF19BE">
        <w:rPr>
          <w:rFonts w:asciiTheme="minorHAnsi" w:hAnsiTheme="minorHAnsi" w:cstheme="minorHAnsi"/>
          <w:sz w:val="22"/>
          <w:szCs w:val="22"/>
          <w:lang w:val="nl-NL"/>
        </w:rPr>
        <w:t xml:space="preserve">, kan een dergelijk handboek de specifieke gerelateerde standaarden vermelden, het type situaties beschrijven dat een daadwerkelijke of ogenschijnlijke aantasting inhoudt, en de stappen beschrijven die een internal auditor die met een mogelijke aantasting wordt geconfronteerd moet nemen. </w:t>
      </w:r>
    </w:p>
    <w:p w:rsidR="00B748EA"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t xml:space="preserve">Situaties die een aantasting inhouden, gaan over het algemeen gepaard met eigenbelang, zelftoetsing, vertrouwdheid, vooringenomenheid of ongepaste invloed. Dergelijke situaties kunnen leiden tot persoonlijke belangenverstrengelingen en beperkingen in de reikwijdte, beperkingen in de beschikbare </w:t>
      </w:r>
      <w:r w:rsidRPr="00BF19BE">
        <w:rPr>
          <w:rFonts w:asciiTheme="minorHAnsi" w:hAnsiTheme="minorHAnsi" w:cstheme="minorHAnsi"/>
          <w:sz w:val="22"/>
          <w:szCs w:val="22"/>
          <w:lang w:val="nl-NL"/>
        </w:rPr>
        <w:lastRenderedPageBreak/>
        <w:t xml:space="preserve">middelen of beperkte toegang tot documentatie, personeel of bedrijfsmiddelen. Voorbeelden van aantastingen van de organisatorische onafhankelijkheid van de internal auditfunctie die in feite ook de onafhankelijkheid van internal auditors kunnen ondermijnen zijn: </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De CAE heeft bredere functionele verantwoordelijkheden die ook andere functiegebieden dan de internal auditfunctie omvatten en voert een audit uit op een functiegebied dat ook onder toezicht van de CAE staat.</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De leidinggevende van de CAE heeft bredere verantwoordelijkheden die ook andere functiegebieden dan de internal auditfunctie omvatten en de CAE voert een audit uit op een functiegebied dat onder de verantwoordelijkheid van de leidinggevende van de CAE valt.</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 xml:space="preserve">Er is geen rechtstreekse communicatie of interactie tussen de CAE en het bestuur. </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Het budget voor de internal auditfunctie is dusdanig verlaagd dat internal audit haar verantwoordelijkheden zoals uiteengezet in haar charter niet meer kan vervullen. Nadere richtsnoeren voor het communiceren van de impact van beperkingen in de beschikbare middelen zijn te vinden in Implementatierichtlijn 2020</w:t>
      </w:r>
      <w:r w:rsidRPr="00BF19BE">
        <w:rPr>
          <w:rFonts w:asciiTheme="minorHAnsi" w:hAnsiTheme="minorHAnsi" w:cstheme="minorHAnsi"/>
          <w:i/>
          <w:iCs/>
          <w:sz w:val="22"/>
          <w:szCs w:val="22"/>
          <w:lang w:val="nl-NL"/>
        </w:rPr>
        <w:t xml:space="preserve"> Communicatie en goedkeuring.</w:t>
      </w:r>
      <w:r w:rsidRPr="00BF19BE">
        <w:rPr>
          <w:rFonts w:asciiTheme="minorHAnsi" w:hAnsiTheme="minorHAnsi" w:cstheme="minorHAnsi"/>
          <w:sz w:val="22"/>
          <w:szCs w:val="22"/>
          <w:lang w:val="nl-NL"/>
        </w:rPr>
        <w:t xml:space="preserve"> </w:t>
      </w:r>
    </w:p>
    <w:p w:rsidR="00B748EA" w:rsidRPr="00BF19BE" w:rsidRDefault="00BF19BE" w:rsidP="00B748EA">
      <w:pPr>
        <w:spacing w:after="180" w:line="400" w:lineRule="atLeast"/>
        <w:rPr>
          <w:rFonts w:cstheme="minorHAnsi"/>
          <w:sz w:val="22"/>
          <w:szCs w:val="22"/>
        </w:rPr>
      </w:pPr>
    </w:p>
    <w:p w:rsidR="00B748EA" w:rsidRPr="00BF19BE" w:rsidRDefault="00D54AEC" w:rsidP="00B748EA">
      <w:pPr>
        <w:rPr>
          <w:rFonts w:cstheme="minorHAnsi"/>
          <w:sz w:val="22"/>
          <w:szCs w:val="22"/>
        </w:rPr>
      </w:pPr>
      <w:r w:rsidRPr="00BF19BE">
        <w:rPr>
          <w:rFonts w:cstheme="minorHAnsi"/>
          <w:sz w:val="22"/>
          <w:szCs w:val="22"/>
          <w:lang w:val="nl-NL"/>
        </w:rPr>
        <w:t>Voorbeelden van aantastingen van de objectiviteit zijn:</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Een internal auditor voert een audit uit op een functiegebied waar hij of zij onlangs werkzaam is geweest, of is vanuit een ander functiegebied overgeplaatst naar internal audit en wordt vervolgens belast met het uitvoeren van een audit van dit functiegebied. (Deze situatie wordt specifiek behandeld in Standaard 1130.A1).</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Een internal auditor voert een audit uit op een functiegebied waarin een familielid of vriend van de internal auditor werkzaam is.</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Een internal auditor veronderstelt, zonder dat hiervoor bewijs is maar uitsluitend op basis van eerdere positieve auditbevindingen of persoonlijke ervaringen (gebrek aan een professioneel-kritische instelling) dat de risico's in een bepaald geauditeerd gebied effectief zijn beperkt.</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 xml:space="preserve">Een internal auditor past de geplande aanpak of resultaten aan op basis van ongepaste invloed van een ander, vaak iemand in een hogere functie dan de internal auditor, zonder dat hiervoor een goede rechtvaardiging is. </w:t>
      </w:r>
    </w:p>
    <w:p w:rsidR="00D0724D"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lastRenderedPageBreak/>
        <w:br/>
        <w:t xml:space="preserve">Vaak beschrijft het beleidshandboek van de internal auditfunctie welke stappen internal auditors moeten nemen als zij dergelijke aantastingen constateren of vermoeden. De eerste stap is meestal om hun zorgen te bespreken met een leidinggevende binnen de internal auditfunctie of de CAE om te bepalen of de situatie daadwerkelijk een aantasting is en hoe dit het best kan worden aangepakt. </w:t>
      </w:r>
    </w:p>
    <w:p w:rsidR="00B748EA" w:rsidRPr="00BF19BE" w:rsidRDefault="00D54AEC" w:rsidP="00B748EA">
      <w:pPr>
        <w:pStyle w:val="TemplateBodyText"/>
        <w:rPr>
          <w:rFonts w:asciiTheme="minorHAnsi" w:hAnsiTheme="minorHAnsi" w:cstheme="minorHAnsi"/>
          <w:sz w:val="22"/>
          <w:szCs w:val="22"/>
        </w:rPr>
      </w:pPr>
      <w:r w:rsidRPr="00BF19BE">
        <w:rPr>
          <w:rFonts w:asciiTheme="minorHAnsi" w:hAnsiTheme="minorHAnsi" w:cstheme="minorHAnsi"/>
          <w:sz w:val="22"/>
          <w:szCs w:val="22"/>
          <w:lang w:val="nl-NL"/>
        </w:rPr>
        <w:t>Wie de relevante betrokkenen zijn en aan wie de aantasting moet worden gemeld en hoe deze het best kan worden gecommuniceerd is afhankelijk van de aard van de aantasting en de verwachtingen van het bestuur/senior management. Bijvoorbeeld:</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 xml:space="preserve">Als de CAE meent dat er geen daadwerkelijke aantasting is maar erkent dat de situatie de </w:t>
      </w:r>
      <w:r w:rsidRPr="00BF19BE">
        <w:rPr>
          <w:rFonts w:asciiTheme="minorHAnsi" w:hAnsiTheme="minorHAnsi" w:cstheme="minorHAnsi"/>
          <w:i/>
          <w:iCs/>
          <w:sz w:val="22"/>
          <w:szCs w:val="22"/>
          <w:lang w:val="nl-NL"/>
        </w:rPr>
        <w:t xml:space="preserve">schijn </w:t>
      </w:r>
      <w:r w:rsidRPr="00BF19BE">
        <w:rPr>
          <w:rFonts w:asciiTheme="minorHAnsi" w:hAnsiTheme="minorHAnsi" w:cstheme="minorHAnsi"/>
          <w:sz w:val="22"/>
          <w:szCs w:val="22"/>
          <w:lang w:val="nl-NL"/>
        </w:rPr>
        <w:t>van een aantasting kan wekken, kan de CAE ervoor kiezen om dit punt van zorg te bespreken tijdens de opdrachtplanningsvergaderingen met het operationele management, de besprekingen te documenteren (bijvoorbeeld in een auditplanningsmemorandum), en toe te lichten waarom er geen gegronde reden tot zorg is. Het kan ook gepast zijn om een dergelijke toelichting op te nemen in de definitieve opdrachtrapportage.</w:t>
      </w:r>
    </w:p>
    <w:p w:rsidR="00B748EA" w:rsidRPr="00BF19BE" w:rsidRDefault="00D54AEC" w:rsidP="00B748EA">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 xml:space="preserve">Als de CAE meent dat er daadwerkelijk een aantasting is van het vermogen van de internal-auditfunctie om haar taken onafhankelijk en objectief te vervullen, zal de CAE deze aantasting meestal bespreken met het bestuur en senior management en hun steun zoeken om de situatie op te lossen. </w:t>
      </w:r>
    </w:p>
    <w:p w:rsidR="00D0724D" w:rsidRPr="00BF19BE" w:rsidRDefault="00D54AEC" w:rsidP="00D0724D">
      <w:pPr>
        <w:pStyle w:val="RedBullets"/>
        <w:rPr>
          <w:rFonts w:asciiTheme="minorHAnsi" w:hAnsiTheme="minorHAnsi" w:cstheme="minorHAnsi"/>
          <w:sz w:val="22"/>
          <w:szCs w:val="22"/>
        </w:rPr>
      </w:pPr>
      <w:r w:rsidRPr="00BF19BE">
        <w:rPr>
          <w:rFonts w:asciiTheme="minorHAnsi" w:hAnsiTheme="minorHAnsi" w:cstheme="minorHAnsi"/>
          <w:sz w:val="22"/>
          <w:szCs w:val="22"/>
          <w:lang w:val="nl-NL"/>
        </w:rPr>
        <w:t xml:space="preserve">Als een aantasting aan het licht komt na de voltooiing van een audit en de aantasting daadwerkelijk of ogenschijnlijk van invloed is op de betrouwbaarheid van de bevindingen van de audit, zal de CAE deze bespreken met het operationele en senior management, alsmede het bestuur. (Standaard 2421 </w:t>
      </w:r>
      <w:r w:rsidRPr="00BF19BE">
        <w:rPr>
          <w:rFonts w:asciiTheme="minorHAnsi" w:hAnsiTheme="minorHAnsi" w:cstheme="minorHAnsi"/>
          <w:i/>
          <w:iCs/>
          <w:sz w:val="22"/>
          <w:szCs w:val="22"/>
          <w:lang w:val="nl-NL"/>
        </w:rPr>
        <w:t>Fouten en omissies</w:t>
      </w:r>
      <w:r w:rsidRPr="00BF19BE">
        <w:rPr>
          <w:rFonts w:asciiTheme="minorHAnsi" w:hAnsiTheme="minorHAnsi" w:cstheme="minorHAnsi"/>
          <w:sz w:val="22"/>
          <w:szCs w:val="22"/>
          <w:lang w:val="nl-NL"/>
        </w:rPr>
        <w:t xml:space="preserve"> schrijft voor dat indien een definitieve communicatie een significante fout of omissie bevat, de CAE de gecorrigeerde informatie moet communiceren aan alle partijen aan wie de oorspronkelijke communicatie is verstrekt.</w:t>
      </w:r>
    </w:p>
    <w:p w:rsidR="000B5E4A" w:rsidRPr="00BF19BE" w:rsidRDefault="00BF19BE" w:rsidP="000B5E4A">
      <w:pPr>
        <w:pStyle w:val="RedBullets"/>
        <w:numPr>
          <w:ilvl w:val="0"/>
          <w:numId w:val="0"/>
        </w:numPr>
        <w:ind w:left="994"/>
        <w:rPr>
          <w:rFonts w:asciiTheme="minorHAnsi" w:hAnsiTheme="minorHAnsi" w:cstheme="minorHAnsi"/>
          <w:sz w:val="22"/>
          <w:szCs w:val="22"/>
        </w:rPr>
      </w:pPr>
    </w:p>
    <w:p w:rsidR="00AF61BE" w:rsidRPr="00BF19BE" w:rsidRDefault="00D54AEC" w:rsidP="00BF19BE">
      <w:pPr>
        <w:pStyle w:val="RedBullets"/>
        <w:numPr>
          <w:ilvl w:val="0"/>
          <w:numId w:val="0"/>
        </w:numPr>
        <w:rPr>
          <w:rFonts w:asciiTheme="minorHAnsi" w:hAnsiTheme="minorHAnsi" w:cstheme="minorHAnsi"/>
          <w:sz w:val="22"/>
          <w:szCs w:val="22"/>
        </w:rPr>
      </w:pPr>
      <w:r w:rsidRPr="00BF19BE">
        <w:rPr>
          <w:rFonts w:asciiTheme="minorHAnsi" w:hAnsiTheme="minorHAnsi" w:cstheme="minorHAnsi"/>
          <w:sz w:val="22"/>
          <w:szCs w:val="22"/>
          <w:lang w:val="nl-NL"/>
        </w:rPr>
        <w:t>De CAE is meestal persoonlijk betrokken bij het bepalen hoe deze informatie het best kan worden verschaft.</w:t>
      </w:r>
    </w:p>
    <w:p w:rsidR="005625D2" w:rsidRPr="00BF19BE" w:rsidRDefault="005625D2" w:rsidP="00D0724D">
      <w:pPr>
        <w:pStyle w:val="RedBullets"/>
        <w:numPr>
          <w:ilvl w:val="0"/>
          <w:numId w:val="0"/>
        </w:numPr>
        <w:ind w:left="994"/>
        <w:rPr>
          <w:rFonts w:asciiTheme="minorHAnsi" w:hAnsiTheme="minorHAnsi" w:cstheme="minorHAnsi"/>
          <w:sz w:val="22"/>
          <w:szCs w:val="22"/>
        </w:rPr>
      </w:pPr>
    </w:p>
    <w:p w:rsidR="005625D2" w:rsidRPr="00BF19BE" w:rsidRDefault="005625D2" w:rsidP="00D0724D">
      <w:pPr>
        <w:pStyle w:val="RedBullets"/>
        <w:numPr>
          <w:ilvl w:val="0"/>
          <w:numId w:val="0"/>
        </w:numPr>
        <w:ind w:left="994"/>
        <w:rPr>
          <w:rFonts w:asciiTheme="minorHAnsi" w:hAnsiTheme="minorHAnsi" w:cstheme="minorHAnsi"/>
          <w:sz w:val="22"/>
          <w:szCs w:val="22"/>
        </w:rPr>
      </w:pPr>
    </w:p>
    <w:p w:rsidR="00871079" w:rsidRPr="00BF19BE" w:rsidRDefault="00D54AEC" w:rsidP="00A04BF7">
      <w:pPr>
        <w:pStyle w:val="TemplateHeadline"/>
        <w:rPr>
          <w:rFonts w:asciiTheme="minorHAnsi" w:hAnsiTheme="minorHAnsi" w:cstheme="minorHAnsi"/>
        </w:rPr>
      </w:pPr>
      <w:r w:rsidRPr="00BF19BE">
        <w:rPr>
          <w:rFonts w:asciiTheme="minorHAnsi" w:hAnsiTheme="minorHAnsi" w:cstheme="minorHAnsi"/>
          <w:lang w:val="nl-NL"/>
        </w:rPr>
        <w:lastRenderedPageBreak/>
        <w:t>Overwegingen bij het aantonen van de naleving</w:t>
      </w:r>
    </w:p>
    <w:p w:rsidR="006050F3" w:rsidRDefault="00D54AEC" w:rsidP="00871079">
      <w:pPr>
        <w:pStyle w:val="TemplateBodyText"/>
        <w:rPr>
          <w:rFonts w:asciiTheme="minorHAnsi" w:hAnsiTheme="minorHAnsi" w:cstheme="minorHAnsi"/>
          <w:sz w:val="22"/>
          <w:szCs w:val="22"/>
          <w:lang w:val="nl-NL"/>
        </w:rPr>
      </w:pPr>
      <w:r w:rsidRPr="00BF19BE">
        <w:rPr>
          <w:rFonts w:asciiTheme="minorHAnsi" w:hAnsiTheme="minorHAnsi" w:cstheme="minorHAnsi"/>
          <w:sz w:val="22"/>
          <w:szCs w:val="22"/>
          <w:lang w:val="nl-NL"/>
        </w:rPr>
        <w:t>De naleving van Standaard 1130 kan worden aangetoond door meerdere documenten, zoals het beleidshandboek van de internal-auditfunctie met bepalingen inzake onafhankelijkheid, hoe moet worden omgegaan met belangenverstrengelingen, de aard van aantastingen en hoe deze moeten worden gecommuniceerd. De naleving kan ook blijken uit notulen van bestuursvergaderingen waarin aantastingen van de onafhankelijkheid of objectiviteit zijn besproken, memoranda in het dossier, of rapportages die toelichtingen van dergelijke aantastingen bevatten.</w:t>
      </w:r>
    </w:p>
    <w:p w:rsidR="00BF19BE" w:rsidRPr="00BF19BE" w:rsidRDefault="00BF19BE" w:rsidP="00871079">
      <w:pPr>
        <w:pStyle w:val="TemplateBodyText"/>
        <w:rPr>
          <w:rFonts w:asciiTheme="minorHAnsi" w:hAnsiTheme="minorHAnsi" w:cstheme="minorHAnsi"/>
          <w:sz w:val="22"/>
          <w:szCs w:val="22"/>
        </w:rPr>
      </w:pPr>
      <w:r w:rsidRPr="00BF19BE">
        <w:rPr>
          <w:rFonts w:asciiTheme="minorHAnsi" w:hAnsiTheme="minorHAnsi" w:cstheme="minorHAnsi"/>
          <w:noProof/>
          <w:lang w:val="nl-NL" w:eastAsia="nl-NL"/>
        </w:rPr>
        <mc:AlternateContent>
          <mc:Choice Requires="wps">
            <w:drawing>
              <wp:anchor distT="182880" distB="274320" distL="114300" distR="114300" simplePos="0" relativeHeight="251664384" behindDoc="1" locked="0" layoutInCell="1" allowOverlap="1" wp14:anchorId="05AF6353" wp14:editId="34821D40">
                <wp:simplePos x="0" y="0"/>
                <wp:positionH relativeFrom="margin">
                  <wp:posOffset>0</wp:posOffset>
                </wp:positionH>
                <wp:positionV relativeFrom="paragraph">
                  <wp:posOffset>708660</wp:posOffset>
                </wp:positionV>
                <wp:extent cx="6400800" cy="5143500"/>
                <wp:effectExtent l="0" t="0" r="0" b="0"/>
                <wp:wrapTight wrapText="bothSides">
                  <wp:wrapPolygon edited="0">
                    <wp:start x="0" y="0"/>
                    <wp:lineTo x="0" y="21520"/>
                    <wp:lineTo x="21536" y="21520"/>
                    <wp:lineTo x="21536" y="0"/>
                    <wp:lineTo x="0" y="0"/>
                  </wp:wrapPolygon>
                </wp:wrapTight>
                <wp:docPr id="7"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F19BE" w:rsidRPr="00E6381B" w:rsidRDefault="00BF19BE" w:rsidP="00BF19BE">
                            <w:pPr>
                              <w:pStyle w:val="BoilerplateHeadline"/>
                            </w:pPr>
                            <w:r w:rsidRPr="00E6381B">
                              <w:rPr>
                                <w:lang w:val="nl-NL"/>
                              </w:rPr>
                              <w:t xml:space="preserve">Over het IIA </w:t>
                            </w:r>
                          </w:p>
                          <w:p w:rsidR="00BF19BE" w:rsidRPr="001A0D5D" w:rsidRDefault="00BF19BE" w:rsidP="00BF19BE">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BF19BE" w:rsidRPr="00E6381B" w:rsidRDefault="00BF19BE" w:rsidP="00BF19BE">
                            <w:pPr>
                              <w:pStyle w:val="BoilerplateHeadline"/>
                            </w:pPr>
                            <w:r w:rsidRPr="00E6381B">
                              <w:rPr>
                                <w:lang w:val="nl-NL"/>
                              </w:rPr>
                              <w:t>Over de Implementatierichtlijnen</w:t>
                            </w:r>
                          </w:p>
                          <w:p w:rsidR="00BF19BE" w:rsidRDefault="00BF19BE" w:rsidP="00BF19BE">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BF19BE" w:rsidRDefault="00BF19BE" w:rsidP="00BF19BE">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BF19BE" w:rsidRDefault="00BF19BE" w:rsidP="00BF19BE">
                            <w:pPr>
                              <w:pStyle w:val="BoilerplateBodyText"/>
                              <w:ind w:right="60"/>
                            </w:pPr>
                            <w:r>
                              <w:rPr>
                                <w:lang w:val="nl-NL"/>
                              </w:rPr>
                              <w:t xml:space="preserve">Andere gezaghebbende richtlijnen van het IIA kunt u vinden op onze websites: www.globaliia.org/standards-guidance en www.theiia.org/guidance. </w:t>
                            </w:r>
                          </w:p>
                          <w:p w:rsidR="00BF19BE" w:rsidRDefault="00BF19BE" w:rsidP="00BF19BE">
                            <w:pPr>
                              <w:pStyle w:val="BoilerplateHeadline"/>
                            </w:pPr>
                            <w:r>
                              <w:rPr>
                                <w:lang w:val="nl-NL"/>
                              </w:rPr>
                              <w:t>Disclaimer</w:t>
                            </w:r>
                          </w:p>
                          <w:p w:rsidR="00BF19BE" w:rsidRDefault="00BF19BE" w:rsidP="00BF19BE">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BF19BE" w:rsidRDefault="00BF19BE" w:rsidP="00BF19BE">
                            <w:pPr>
                              <w:pStyle w:val="BoilerplateHeadline"/>
                              <w:spacing w:after="60"/>
                            </w:pPr>
                            <w:r>
                              <w:rPr>
                                <w:lang w:val="nl-NL"/>
                              </w:rPr>
                              <w:t>Auteursrecht</w:t>
                            </w:r>
                          </w:p>
                          <w:p w:rsidR="00BF19BE" w:rsidRDefault="00BF19BE" w:rsidP="00BF19BE">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BF19BE" w:rsidRPr="00E6381B" w:rsidRDefault="00BF19BE" w:rsidP="00BF19BE"/>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F6353" id="Text Box 1" o:spid="_x0000_s1028" type="#_x0000_t202" style="position:absolute;margin-left:0;margin-top:55.8pt;width:7in;height:405pt;z-index:-251652096;visibility:visible;mso-wrap-style:square;mso-height-percent:0;mso-wrap-distance-left:9pt;mso-wrap-distance-top:14.4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" fillcolor="#d8d8d8 [2732]" stroked="f">
                <v:textbox inset="14.4pt,23.76pt,14.4pt,23.76pt">
                  <w:txbxContent>
                    <w:p w:rsidR="00BF19BE" w:rsidRPr="00E6381B" w:rsidRDefault="00BF19BE" w:rsidP="00BF19BE">
                      <w:pPr>
                        <w:pStyle w:val="BoilerplateHeadline"/>
                      </w:pPr>
                      <w:r w:rsidRPr="00E6381B">
                        <w:rPr>
                          <w:lang w:val="nl-NL"/>
                        </w:rPr>
                        <w:t xml:space="preserve">Over het IIA </w:t>
                      </w:r>
                    </w:p>
                    <w:p w:rsidR="00BF19BE" w:rsidRPr="001A0D5D" w:rsidRDefault="00BF19BE" w:rsidP="00BF19BE">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BF19BE" w:rsidRPr="00E6381B" w:rsidRDefault="00BF19BE" w:rsidP="00BF19BE">
                      <w:pPr>
                        <w:pStyle w:val="BoilerplateHeadline"/>
                      </w:pPr>
                      <w:r w:rsidRPr="00E6381B">
                        <w:rPr>
                          <w:lang w:val="nl-NL"/>
                        </w:rPr>
                        <w:t>Over de Implementatierichtlijnen</w:t>
                      </w:r>
                    </w:p>
                    <w:p w:rsidR="00BF19BE" w:rsidRDefault="00BF19BE" w:rsidP="00BF19BE">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BF19BE" w:rsidRDefault="00BF19BE" w:rsidP="00BF19BE">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BF19BE" w:rsidRDefault="00BF19BE" w:rsidP="00BF19BE">
                      <w:pPr>
                        <w:pStyle w:val="BoilerplateBodyText"/>
                        <w:ind w:right="60"/>
                      </w:pPr>
                      <w:r>
                        <w:rPr>
                          <w:lang w:val="nl-NL"/>
                        </w:rPr>
                        <w:t xml:space="preserve">Andere gezaghebbende richtlijnen van het IIA kunt u vinden op onze websites: www.globaliia.org/standards-guidance en www.theiia.org/guidance. </w:t>
                      </w:r>
                    </w:p>
                    <w:p w:rsidR="00BF19BE" w:rsidRDefault="00BF19BE" w:rsidP="00BF19BE">
                      <w:pPr>
                        <w:pStyle w:val="BoilerplateHeadline"/>
                      </w:pPr>
                      <w:r>
                        <w:rPr>
                          <w:lang w:val="nl-NL"/>
                        </w:rPr>
                        <w:t>Disclaimer</w:t>
                      </w:r>
                    </w:p>
                    <w:p w:rsidR="00BF19BE" w:rsidRDefault="00BF19BE" w:rsidP="00BF19BE">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BF19BE" w:rsidRDefault="00BF19BE" w:rsidP="00BF19BE">
                      <w:pPr>
                        <w:pStyle w:val="BoilerplateHeadline"/>
                        <w:spacing w:after="60"/>
                      </w:pPr>
                      <w:r>
                        <w:rPr>
                          <w:lang w:val="nl-NL"/>
                        </w:rPr>
                        <w:t>Auteursrecht</w:t>
                      </w:r>
                    </w:p>
                    <w:p w:rsidR="00BF19BE" w:rsidRDefault="00BF19BE" w:rsidP="00BF19BE">
                      <w:pPr>
                        <w:pStyle w:val="BoilerplateBodyText"/>
                      </w:pPr>
                      <w:r>
                        <w:rPr>
                          <w:lang w:val="nl-NL"/>
                        </w:rPr>
                        <w:t>Copyright</w:t>
                      </w:r>
                      <w:r>
                        <w:rPr>
                          <w:vertAlign w:val="superscript"/>
                          <w:lang w:val="nl-NL"/>
                        </w:rPr>
                        <w:t>®</w:t>
                      </w:r>
                      <w:r>
                        <w:rPr>
                          <w:lang w:val="nl-NL"/>
                        </w:rPr>
                        <w:t xml:space="preserve"> 2016 </w:t>
                      </w:r>
                      <w:r>
                        <w:rPr>
                          <w:i/>
                          <w:iCs/>
                          <w:lang w:val="nl-NL"/>
                        </w:rPr>
                        <w:t xml:space="preserve">The Institute of Internal Auditors. </w:t>
                      </w:r>
                      <w:r>
                        <w:rPr>
                          <w:lang w:val="nl-NL"/>
                        </w:rPr>
                        <w:t xml:space="preserve">Toestemming voor reproductie van deze publicatie kunt u per e-mail aanvragen via guidance@theiia.org. </w:t>
                      </w:r>
                    </w:p>
                    <w:p w:rsidR="00BF19BE" w:rsidRPr="00E6381B" w:rsidRDefault="00BF19BE" w:rsidP="00BF19BE"/>
                  </w:txbxContent>
                </v:textbox>
                <w10:wrap type="tight" anchorx="margin"/>
              </v:shape>
            </w:pict>
          </mc:Fallback>
        </mc:AlternateContent>
      </w:r>
    </w:p>
    <w:p w:rsidR="00871079" w:rsidRPr="00BF19BE" w:rsidRDefault="00BF19BE" w:rsidP="00871079">
      <w:pPr>
        <w:pStyle w:val="TemplateBodyText"/>
        <w:rPr>
          <w:rFonts w:asciiTheme="minorHAnsi" w:hAnsiTheme="minorHAnsi" w:cstheme="minorHAnsi"/>
        </w:rPr>
      </w:pPr>
    </w:p>
    <w:sectPr w:rsidR="00871079" w:rsidRPr="00BF19BE" w:rsidSect="00893833">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D2D" w:rsidRDefault="00D54AEC">
      <w:r>
        <w:separator/>
      </w:r>
    </w:p>
  </w:endnote>
  <w:endnote w:type="continuationSeparator" w:id="0">
    <w:p w:rsidR="00376D2D" w:rsidRDefault="00D5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9BE" w:rsidRDefault="00BF19B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D54AEC"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BF19BE">
      <w:rPr>
        <w:rStyle w:val="Paginanummer"/>
        <w:noProof/>
        <w:color w:val="535953"/>
        <w:sz w:val="16"/>
        <w:szCs w:val="16"/>
      </w:rPr>
      <w:t>5</w:t>
    </w:r>
    <w:r w:rsidRPr="006227FD">
      <w:rPr>
        <w:rStyle w:val="Paginanummer"/>
        <w:color w:val="535953"/>
        <w:sz w:val="16"/>
        <w:szCs w:val="16"/>
      </w:rPr>
      <w:fldChar w:fldCharType="end"/>
    </w:r>
  </w:p>
  <w:p w:rsidR="00B01FFE" w:rsidRDefault="00BF19B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3A7A71" w:rsidP="00893833">
    <w:pPr>
      <w:framePr w:wrap="around" w:vAnchor="text" w:hAnchor="page" w:x="6071" w:y="277"/>
      <w:rPr>
        <w:rStyle w:val="Paginanummer"/>
        <w:color w:val="535953"/>
        <w:sz w:val="16"/>
        <w:szCs w:val="16"/>
      </w:rPr>
    </w:pPr>
    <w:r>
      <w:rPr>
        <w:rStyle w:val="Paginanummer"/>
        <w:lang w:val="nl-NL"/>
      </w:rPr>
      <w:t xml:space="preserve"> </w:t>
    </w:r>
    <w:r w:rsidR="00D54AEC" w:rsidRPr="00893833">
      <w:rPr>
        <w:rStyle w:val="Paginanummer"/>
        <w:color w:val="535953"/>
        <w:sz w:val="16"/>
        <w:szCs w:val="16"/>
      </w:rPr>
      <w:fldChar w:fldCharType="begin"/>
    </w:r>
    <w:r w:rsidR="00D54AEC" w:rsidRPr="00893833">
      <w:rPr>
        <w:rStyle w:val="Paginanummer"/>
        <w:color w:val="535953"/>
        <w:sz w:val="16"/>
        <w:szCs w:val="16"/>
      </w:rPr>
      <w:instrText xml:space="preserve">PAGE  </w:instrText>
    </w:r>
    <w:r w:rsidR="00D54AEC" w:rsidRPr="00893833">
      <w:rPr>
        <w:rStyle w:val="Paginanummer"/>
        <w:color w:val="535953"/>
        <w:sz w:val="16"/>
        <w:szCs w:val="16"/>
      </w:rPr>
      <w:fldChar w:fldCharType="separate"/>
    </w:r>
    <w:r w:rsidR="00BF19BE">
      <w:rPr>
        <w:rStyle w:val="Paginanummer"/>
        <w:noProof/>
        <w:color w:val="535953"/>
        <w:sz w:val="16"/>
        <w:szCs w:val="16"/>
      </w:rPr>
      <w:t>1</w:t>
    </w:r>
    <w:r w:rsidR="00D54AEC" w:rsidRPr="00893833">
      <w:rPr>
        <w:rStyle w:val="Paginanummer"/>
        <w:color w:val="535953"/>
        <w:sz w:val="16"/>
        <w:szCs w:val="16"/>
      </w:rPr>
      <w:fldChar w:fldCharType="end"/>
    </w:r>
  </w:p>
  <w:p w:rsidR="00B01FFE" w:rsidRDefault="00BF19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D2D" w:rsidRDefault="00D54AEC">
      <w:r>
        <w:separator/>
      </w:r>
    </w:p>
  </w:footnote>
  <w:footnote w:type="continuationSeparator" w:id="0">
    <w:p w:rsidR="00376D2D" w:rsidRDefault="00D54A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D54AEC"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BF19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D54AEC">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D54AEC">
                          <w:pPr>
                            <w:rPr>
                              <w:rFonts w:ascii="Arial" w:hAnsi="Arial" w:cs="Arial"/>
                              <w:color w:val="002239" w:themeColor="text2" w:themeShade="80"/>
                            </w:rPr>
                          </w:pPr>
                          <w:r>
                            <w:rPr>
                              <w:rFonts w:ascii="Arial" w:hAnsi="Arial" w:cs="Arial"/>
                              <w:color w:val="0F1F4B"/>
                              <w:lang w:val="nl-NL"/>
                            </w:rPr>
                            <w:t>Implementatierichtlijn 1130</w:t>
                          </w:r>
                          <w:r w:rsidR="003A7A71">
                            <w:rPr>
                              <w:rFonts w:ascii="Arial" w:hAnsi="Arial" w:cs="Arial"/>
                              <w:color w:val="002239" w:themeColor="text2" w:themeShade="80"/>
                              <w:lang w:val="nl-NL"/>
                            </w:rPr>
                            <w:t xml:space="preserve"> </w:t>
                          </w:r>
                          <w:r w:rsidR="00BF19BE">
                            <w:rPr>
                              <w:rFonts w:ascii="Arial" w:hAnsi="Arial" w:cs="Arial"/>
                              <w:color w:val="002239" w:themeColor="text2" w:themeShade="80"/>
                              <w:lang w:val="nl-NL"/>
                            </w:rPr>
                            <w:t xml:space="preserve">- </w:t>
                          </w:r>
                          <w:bookmarkStart w:id="0" w:name="_GoBack"/>
                          <w:bookmarkEnd w:id="0"/>
                          <w:r>
                            <w:rPr>
                              <w:rFonts w:ascii="Arial" w:hAnsi="Arial" w:cs="Arial"/>
                              <w:color w:val="535953"/>
                              <w:lang w:val="nl-NL"/>
                            </w:rPr>
                            <w:t>Aantasting van onafhankelijkheid of objectiviteit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D54AEC">
                    <w:pPr>
                      <w:rPr>
                        <w:rFonts w:ascii="Arial" w:hAnsi="Arial" w:cs="Arial"/>
                        <w:color w:val="002239" w:themeColor="text2" w:themeShade="80"/>
                      </w:rPr>
                    </w:pPr>
                    <w:r>
                      <w:rPr>
                        <w:rFonts w:ascii="Arial" w:hAnsi="Arial" w:cs="Arial"/>
                        <w:color w:val="0F1F4B"/>
                        <w:lang w:val="nl-NL"/>
                      </w:rPr>
                      <w:t>Implementatierichtlijn 1130</w:t>
                    </w:r>
                    <w:r w:rsidR="003A7A71">
                      <w:rPr>
                        <w:rFonts w:ascii="Arial" w:hAnsi="Arial" w:cs="Arial"/>
                        <w:color w:val="002239" w:themeColor="text2" w:themeShade="80"/>
                        <w:lang w:val="nl-NL"/>
                      </w:rPr>
                      <w:t xml:space="preserve"> </w:t>
                    </w:r>
                    <w:r w:rsidR="00BF19BE">
                      <w:rPr>
                        <w:rFonts w:ascii="Arial" w:hAnsi="Arial" w:cs="Arial"/>
                        <w:color w:val="002239" w:themeColor="text2" w:themeShade="80"/>
                        <w:lang w:val="nl-NL"/>
                      </w:rPr>
                      <w:t xml:space="preserve">- </w:t>
                    </w:r>
                    <w:bookmarkStart w:id="1" w:name="_GoBack"/>
                    <w:bookmarkEnd w:id="1"/>
                    <w:r>
                      <w:rPr>
                        <w:rFonts w:ascii="Arial" w:hAnsi="Arial" w:cs="Arial"/>
                        <w:color w:val="535953"/>
                        <w:lang w:val="nl-NL"/>
                      </w:rPr>
                      <w:t>Aantasting van onafhankelijkheid of objectiviteit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D54AEC">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12877C">
      <w:start w:val="1"/>
      <w:numFmt w:val="bullet"/>
      <w:lvlText w:val=""/>
      <w:lvlJc w:val="left"/>
      <w:pPr>
        <w:ind w:left="990" w:hanging="360"/>
      </w:pPr>
      <w:rPr>
        <w:rFonts w:ascii="Symbol" w:hAnsi="Symbol" w:hint="default"/>
        <w:color w:val="D32E30" w:themeColor="accent2"/>
      </w:rPr>
    </w:lvl>
    <w:lvl w:ilvl="1" w:tplc="141A6B32" w:tentative="1">
      <w:start w:val="1"/>
      <w:numFmt w:val="bullet"/>
      <w:lvlText w:val="o"/>
      <w:lvlJc w:val="left"/>
      <w:pPr>
        <w:ind w:left="1710" w:hanging="360"/>
      </w:pPr>
      <w:rPr>
        <w:rFonts w:ascii="Courier New" w:hAnsi="Courier New" w:hint="default"/>
      </w:rPr>
    </w:lvl>
    <w:lvl w:ilvl="2" w:tplc="BFFA8E58" w:tentative="1">
      <w:start w:val="1"/>
      <w:numFmt w:val="bullet"/>
      <w:lvlText w:val=""/>
      <w:lvlJc w:val="left"/>
      <w:pPr>
        <w:ind w:left="2430" w:hanging="360"/>
      </w:pPr>
      <w:rPr>
        <w:rFonts w:ascii="Wingdings" w:hAnsi="Wingdings" w:hint="default"/>
      </w:rPr>
    </w:lvl>
    <w:lvl w:ilvl="3" w:tplc="4A867CB2" w:tentative="1">
      <w:start w:val="1"/>
      <w:numFmt w:val="bullet"/>
      <w:lvlText w:val=""/>
      <w:lvlJc w:val="left"/>
      <w:pPr>
        <w:ind w:left="3150" w:hanging="360"/>
      </w:pPr>
      <w:rPr>
        <w:rFonts w:ascii="Symbol" w:hAnsi="Symbol" w:hint="default"/>
      </w:rPr>
    </w:lvl>
    <w:lvl w:ilvl="4" w:tplc="4E48B6C4" w:tentative="1">
      <w:start w:val="1"/>
      <w:numFmt w:val="bullet"/>
      <w:lvlText w:val="o"/>
      <w:lvlJc w:val="left"/>
      <w:pPr>
        <w:ind w:left="3870" w:hanging="360"/>
      </w:pPr>
      <w:rPr>
        <w:rFonts w:ascii="Courier New" w:hAnsi="Courier New" w:hint="default"/>
      </w:rPr>
    </w:lvl>
    <w:lvl w:ilvl="5" w:tplc="03B6ACD4" w:tentative="1">
      <w:start w:val="1"/>
      <w:numFmt w:val="bullet"/>
      <w:lvlText w:val=""/>
      <w:lvlJc w:val="left"/>
      <w:pPr>
        <w:ind w:left="4590" w:hanging="360"/>
      </w:pPr>
      <w:rPr>
        <w:rFonts w:ascii="Wingdings" w:hAnsi="Wingdings" w:hint="default"/>
      </w:rPr>
    </w:lvl>
    <w:lvl w:ilvl="6" w:tplc="E7B83B82" w:tentative="1">
      <w:start w:val="1"/>
      <w:numFmt w:val="bullet"/>
      <w:lvlText w:val=""/>
      <w:lvlJc w:val="left"/>
      <w:pPr>
        <w:ind w:left="5310" w:hanging="360"/>
      </w:pPr>
      <w:rPr>
        <w:rFonts w:ascii="Symbol" w:hAnsi="Symbol" w:hint="default"/>
      </w:rPr>
    </w:lvl>
    <w:lvl w:ilvl="7" w:tplc="6DA02B4A" w:tentative="1">
      <w:start w:val="1"/>
      <w:numFmt w:val="bullet"/>
      <w:lvlText w:val="o"/>
      <w:lvlJc w:val="left"/>
      <w:pPr>
        <w:ind w:left="6030" w:hanging="360"/>
      </w:pPr>
      <w:rPr>
        <w:rFonts w:ascii="Courier New" w:hAnsi="Courier New" w:hint="default"/>
      </w:rPr>
    </w:lvl>
    <w:lvl w:ilvl="8" w:tplc="0B60D84C"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82ACA8DC"/>
    <w:lvl w:ilvl="0" w:tplc="0910F74A">
      <w:start w:val="1"/>
      <w:numFmt w:val="bullet"/>
      <w:pStyle w:val="RedBullets"/>
      <w:lvlText w:val=""/>
      <w:lvlJc w:val="left"/>
      <w:pPr>
        <w:ind w:left="994" w:hanging="360"/>
      </w:pPr>
      <w:rPr>
        <w:rFonts w:ascii="Symbol" w:hAnsi="Symbol" w:hint="default"/>
        <w:color w:val="D32E30" w:themeColor="accent2"/>
      </w:rPr>
    </w:lvl>
    <w:lvl w:ilvl="1" w:tplc="7A2E967E">
      <w:start w:val="1"/>
      <w:numFmt w:val="bullet"/>
      <w:lvlText w:val="o"/>
      <w:lvlJc w:val="left"/>
      <w:pPr>
        <w:ind w:left="1714" w:hanging="360"/>
      </w:pPr>
      <w:rPr>
        <w:rFonts w:ascii="Courier New" w:hAnsi="Courier New" w:hint="default"/>
      </w:rPr>
    </w:lvl>
    <w:lvl w:ilvl="2" w:tplc="F0221002" w:tentative="1">
      <w:start w:val="1"/>
      <w:numFmt w:val="bullet"/>
      <w:lvlText w:val=""/>
      <w:lvlJc w:val="left"/>
      <w:pPr>
        <w:ind w:left="2434" w:hanging="360"/>
      </w:pPr>
      <w:rPr>
        <w:rFonts w:ascii="Wingdings" w:hAnsi="Wingdings" w:hint="default"/>
      </w:rPr>
    </w:lvl>
    <w:lvl w:ilvl="3" w:tplc="A2948E72" w:tentative="1">
      <w:start w:val="1"/>
      <w:numFmt w:val="bullet"/>
      <w:lvlText w:val=""/>
      <w:lvlJc w:val="left"/>
      <w:pPr>
        <w:ind w:left="3154" w:hanging="360"/>
      </w:pPr>
      <w:rPr>
        <w:rFonts w:ascii="Symbol" w:hAnsi="Symbol" w:hint="default"/>
      </w:rPr>
    </w:lvl>
    <w:lvl w:ilvl="4" w:tplc="0EC648E4" w:tentative="1">
      <w:start w:val="1"/>
      <w:numFmt w:val="bullet"/>
      <w:lvlText w:val="o"/>
      <w:lvlJc w:val="left"/>
      <w:pPr>
        <w:ind w:left="3874" w:hanging="360"/>
      </w:pPr>
      <w:rPr>
        <w:rFonts w:ascii="Courier New" w:hAnsi="Courier New" w:hint="default"/>
      </w:rPr>
    </w:lvl>
    <w:lvl w:ilvl="5" w:tplc="B72E1414" w:tentative="1">
      <w:start w:val="1"/>
      <w:numFmt w:val="bullet"/>
      <w:lvlText w:val=""/>
      <w:lvlJc w:val="left"/>
      <w:pPr>
        <w:ind w:left="4594" w:hanging="360"/>
      </w:pPr>
      <w:rPr>
        <w:rFonts w:ascii="Wingdings" w:hAnsi="Wingdings" w:hint="default"/>
      </w:rPr>
    </w:lvl>
    <w:lvl w:ilvl="6" w:tplc="835A8190" w:tentative="1">
      <w:start w:val="1"/>
      <w:numFmt w:val="bullet"/>
      <w:lvlText w:val=""/>
      <w:lvlJc w:val="left"/>
      <w:pPr>
        <w:ind w:left="5314" w:hanging="360"/>
      </w:pPr>
      <w:rPr>
        <w:rFonts w:ascii="Symbol" w:hAnsi="Symbol" w:hint="default"/>
      </w:rPr>
    </w:lvl>
    <w:lvl w:ilvl="7" w:tplc="D08E6680" w:tentative="1">
      <w:start w:val="1"/>
      <w:numFmt w:val="bullet"/>
      <w:lvlText w:val="o"/>
      <w:lvlJc w:val="left"/>
      <w:pPr>
        <w:ind w:left="6034" w:hanging="360"/>
      </w:pPr>
      <w:rPr>
        <w:rFonts w:ascii="Courier New" w:hAnsi="Courier New" w:hint="default"/>
      </w:rPr>
    </w:lvl>
    <w:lvl w:ilvl="8" w:tplc="D44C1E3C" w:tentative="1">
      <w:start w:val="1"/>
      <w:numFmt w:val="bullet"/>
      <w:lvlText w:val=""/>
      <w:lvlJc w:val="left"/>
      <w:pPr>
        <w:ind w:left="6754" w:hanging="360"/>
      </w:pPr>
      <w:rPr>
        <w:rFonts w:ascii="Wingdings" w:hAnsi="Wingdings" w:hint="default"/>
      </w:rPr>
    </w:lvl>
  </w:abstractNum>
  <w:abstractNum w:abstractNumId="2" w15:restartNumberingAfterBreak="0">
    <w:nsid w:val="2D002546"/>
    <w:multiLevelType w:val="hybridMultilevel"/>
    <w:tmpl w:val="52C0F5DA"/>
    <w:lvl w:ilvl="0" w:tplc="1B36442A">
      <w:start w:val="1"/>
      <w:numFmt w:val="bullet"/>
      <w:lvlText w:val=""/>
      <w:lvlJc w:val="left"/>
      <w:pPr>
        <w:ind w:left="720" w:hanging="360"/>
      </w:pPr>
      <w:rPr>
        <w:rFonts w:ascii="Symbol" w:hAnsi="Symbol" w:hint="default"/>
      </w:rPr>
    </w:lvl>
    <w:lvl w:ilvl="1" w:tplc="67FC8EBC" w:tentative="1">
      <w:start w:val="1"/>
      <w:numFmt w:val="bullet"/>
      <w:lvlText w:val="o"/>
      <w:lvlJc w:val="left"/>
      <w:pPr>
        <w:ind w:left="1440" w:hanging="360"/>
      </w:pPr>
      <w:rPr>
        <w:rFonts w:ascii="Courier New" w:hAnsi="Courier New" w:cs="Courier New" w:hint="default"/>
      </w:rPr>
    </w:lvl>
    <w:lvl w:ilvl="2" w:tplc="428AFBA0" w:tentative="1">
      <w:start w:val="1"/>
      <w:numFmt w:val="bullet"/>
      <w:lvlText w:val=""/>
      <w:lvlJc w:val="left"/>
      <w:pPr>
        <w:ind w:left="2160" w:hanging="360"/>
      </w:pPr>
      <w:rPr>
        <w:rFonts w:ascii="Wingdings" w:hAnsi="Wingdings" w:hint="default"/>
      </w:rPr>
    </w:lvl>
    <w:lvl w:ilvl="3" w:tplc="E5F0D25C" w:tentative="1">
      <w:start w:val="1"/>
      <w:numFmt w:val="bullet"/>
      <w:lvlText w:val=""/>
      <w:lvlJc w:val="left"/>
      <w:pPr>
        <w:ind w:left="2880" w:hanging="360"/>
      </w:pPr>
      <w:rPr>
        <w:rFonts w:ascii="Symbol" w:hAnsi="Symbol" w:hint="default"/>
      </w:rPr>
    </w:lvl>
    <w:lvl w:ilvl="4" w:tplc="8FB4560A" w:tentative="1">
      <w:start w:val="1"/>
      <w:numFmt w:val="bullet"/>
      <w:lvlText w:val="o"/>
      <w:lvlJc w:val="left"/>
      <w:pPr>
        <w:ind w:left="3600" w:hanging="360"/>
      </w:pPr>
      <w:rPr>
        <w:rFonts w:ascii="Courier New" w:hAnsi="Courier New" w:cs="Courier New" w:hint="default"/>
      </w:rPr>
    </w:lvl>
    <w:lvl w:ilvl="5" w:tplc="4726D8D2" w:tentative="1">
      <w:start w:val="1"/>
      <w:numFmt w:val="bullet"/>
      <w:lvlText w:val=""/>
      <w:lvlJc w:val="left"/>
      <w:pPr>
        <w:ind w:left="4320" w:hanging="360"/>
      </w:pPr>
      <w:rPr>
        <w:rFonts w:ascii="Wingdings" w:hAnsi="Wingdings" w:hint="default"/>
      </w:rPr>
    </w:lvl>
    <w:lvl w:ilvl="6" w:tplc="8ABA6F52" w:tentative="1">
      <w:start w:val="1"/>
      <w:numFmt w:val="bullet"/>
      <w:lvlText w:val=""/>
      <w:lvlJc w:val="left"/>
      <w:pPr>
        <w:ind w:left="5040" w:hanging="360"/>
      </w:pPr>
      <w:rPr>
        <w:rFonts w:ascii="Symbol" w:hAnsi="Symbol" w:hint="default"/>
      </w:rPr>
    </w:lvl>
    <w:lvl w:ilvl="7" w:tplc="2B606698" w:tentative="1">
      <w:start w:val="1"/>
      <w:numFmt w:val="bullet"/>
      <w:lvlText w:val="o"/>
      <w:lvlJc w:val="left"/>
      <w:pPr>
        <w:ind w:left="5760" w:hanging="360"/>
      </w:pPr>
      <w:rPr>
        <w:rFonts w:ascii="Courier New" w:hAnsi="Courier New" w:cs="Courier New" w:hint="default"/>
      </w:rPr>
    </w:lvl>
    <w:lvl w:ilvl="8" w:tplc="49EEC0E0" w:tentative="1">
      <w:start w:val="1"/>
      <w:numFmt w:val="bullet"/>
      <w:lvlText w:val=""/>
      <w:lvlJc w:val="left"/>
      <w:pPr>
        <w:ind w:left="6480" w:hanging="360"/>
      </w:pPr>
      <w:rPr>
        <w:rFonts w:ascii="Wingdings" w:hAnsi="Wingdings" w:hint="default"/>
      </w:rPr>
    </w:lvl>
  </w:abstractNum>
  <w:abstractNum w:abstractNumId="3" w15:restartNumberingAfterBreak="0">
    <w:nsid w:val="327E59D3"/>
    <w:multiLevelType w:val="hybridMultilevel"/>
    <w:tmpl w:val="97D2F3F4"/>
    <w:lvl w:ilvl="0" w:tplc="AE8C9D58">
      <w:start w:val="1"/>
      <w:numFmt w:val="bullet"/>
      <w:lvlText w:val=""/>
      <w:lvlJc w:val="left"/>
      <w:pPr>
        <w:ind w:left="720" w:hanging="360"/>
      </w:pPr>
      <w:rPr>
        <w:rFonts w:ascii="Symbol" w:hAnsi="Symbol" w:hint="default"/>
        <w:color w:val="D32E30" w:themeColor="accent2"/>
      </w:rPr>
    </w:lvl>
    <w:lvl w:ilvl="1" w:tplc="CD141F1C" w:tentative="1">
      <w:start w:val="1"/>
      <w:numFmt w:val="bullet"/>
      <w:lvlText w:val="o"/>
      <w:lvlJc w:val="left"/>
      <w:pPr>
        <w:ind w:left="1170" w:hanging="360"/>
      </w:pPr>
      <w:rPr>
        <w:rFonts w:ascii="Courier New" w:hAnsi="Courier New" w:hint="default"/>
      </w:rPr>
    </w:lvl>
    <w:lvl w:ilvl="2" w:tplc="F23A4854" w:tentative="1">
      <w:start w:val="1"/>
      <w:numFmt w:val="bullet"/>
      <w:lvlText w:val=""/>
      <w:lvlJc w:val="left"/>
      <w:pPr>
        <w:ind w:left="1890" w:hanging="360"/>
      </w:pPr>
      <w:rPr>
        <w:rFonts w:ascii="Wingdings" w:hAnsi="Wingdings" w:hint="default"/>
      </w:rPr>
    </w:lvl>
    <w:lvl w:ilvl="3" w:tplc="3CF2A462" w:tentative="1">
      <w:start w:val="1"/>
      <w:numFmt w:val="bullet"/>
      <w:lvlText w:val=""/>
      <w:lvlJc w:val="left"/>
      <w:pPr>
        <w:ind w:left="2610" w:hanging="360"/>
      </w:pPr>
      <w:rPr>
        <w:rFonts w:ascii="Symbol" w:hAnsi="Symbol" w:hint="default"/>
      </w:rPr>
    </w:lvl>
    <w:lvl w:ilvl="4" w:tplc="EAE047A2" w:tentative="1">
      <w:start w:val="1"/>
      <w:numFmt w:val="bullet"/>
      <w:lvlText w:val="o"/>
      <w:lvlJc w:val="left"/>
      <w:pPr>
        <w:ind w:left="3330" w:hanging="360"/>
      </w:pPr>
      <w:rPr>
        <w:rFonts w:ascii="Courier New" w:hAnsi="Courier New" w:hint="default"/>
      </w:rPr>
    </w:lvl>
    <w:lvl w:ilvl="5" w:tplc="952E925C" w:tentative="1">
      <w:start w:val="1"/>
      <w:numFmt w:val="bullet"/>
      <w:lvlText w:val=""/>
      <w:lvlJc w:val="left"/>
      <w:pPr>
        <w:ind w:left="4050" w:hanging="360"/>
      </w:pPr>
      <w:rPr>
        <w:rFonts w:ascii="Wingdings" w:hAnsi="Wingdings" w:hint="default"/>
      </w:rPr>
    </w:lvl>
    <w:lvl w:ilvl="6" w:tplc="52921C18" w:tentative="1">
      <w:start w:val="1"/>
      <w:numFmt w:val="bullet"/>
      <w:lvlText w:val=""/>
      <w:lvlJc w:val="left"/>
      <w:pPr>
        <w:ind w:left="4770" w:hanging="360"/>
      </w:pPr>
      <w:rPr>
        <w:rFonts w:ascii="Symbol" w:hAnsi="Symbol" w:hint="default"/>
      </w:rPr>
    </w:lvl>
    <w:lvl w:ilvl="7" w:tplc="32DA60F6" w:tentative="1">
      <w:start w:val="1"/>
      <w:numFmt w:val="bullet"/>
      <w:lvlText w:val="o"/>
      <w:lvlJc w:val="left"/>
      <w:pPr>
        <w:ind w:left="5490" w:hanging="360"/>
      </w:pPr>
      <w:rPr>
        <w:rFonts w:ascii="Courier New" w:hAnsi="Courier New" w:hint="default"/>
      </w:rPr>
    </w:lvl>
    <w:lvl w:ilvl="8" w:tplc="47A63260" w:tentative="1">
      <w:start w:val="1"/>
      <w:numFmt w:val="bullet"/>
      <w:lvlText w:val=""/>
      <w:lvlJc w:val="left"/>
      <w:pPr>
        <w:ind w:left="621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D54AEC"/>
    <w:rsid w:val="00376D2D"/>
    <w:rsid w:val="003A7A71"/>
    <w:rsid w:val="005625D2"/>
    <w:rsid w:val="00BF19BE"/>
    <w:rsid w:val="00D54AE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EEBF70-A825-49E2-BE8A-A47CE2C1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01EF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01EF1"/>
    <w:rPr>
      <w:rFonts w:ascii="Segoe UI" w:hAnsi="Segoe UI" w:cs="Segoe UI"/>
      <w:sz w:val="18"/>
      <w:szCs w:val="18"/>
    </w:rPr>
  </w:style>
  <w:style w:type="character" w:styleId="Verwijzingopmerking">
    <w:name w:val="annotation reference"/>
    <w:basedOn w:val="Standaardalinea-lettertype"/>
    <w:uiPriority w:val="99"/>
    <w:semiHidden/>
    <w:unhideWhenUsed/>
    <w:rsid w:val="00C4113E"/>
    <w:rPr>
      <w:sz w:val="16"/>
      <w:szCs w:val="16"/>
    </w:rPr>
  </w:style>
  <w:style w:type="paragraph" w:styleId="Tekstopmerking">
    <w:name w:val="annotation text"/>
    <w:basedOn w:val="Standaard"/>
    <w:link w:val="TekstopmerkingChar"/>
    <w:uiPriority w:val="99"/>
    <w:unhideWhenUsed/>
    <w:rsid w:val="00C4113E"/>
    <w:rPr>
      <w:sz w:val="20"/>
      <w:szCs w:val="20"/>
    </w:rPr>
  </w:style>
  <w:style w:type="character" w:customStyle="1" w:styleId="TekstopmerkingChar">
    <w:name w:val="Tekst opmerking Char"/>
    <w:basedOn w:val="Standaardalinea-lettertype"/>
    <w:link w:val="Tekstopmerking"/>
    <w:uiPriority w:val="99"/>
    <w:rsid w:val="00C4113E"/>
    <w:rPr>
      <w:sz w:val="20"/>
      <w:szCs w:val="20"/>
    </w:rPr>
  </w:style>
  <w:style w:type="paragraph" w:styleId="Onderwerpvanopmerking">
    <w:name w:val="annotation subject"/>
    <w:basedOn w:val="Tekstopmerking"/>
    <w:next w:val="Tekstopmerking"/>
    <w:link w:val="OnderwerpvanopmerkingChar"/>
    <w:uiPriority w:val="99"/>
    <w:semiHidden/>
    <w:unhideWhenUsed/>
    <w:rsid w:val="00C4113E"/>
    <w:rPr>
      <w:b/>
      <w:bCs/>
    </w:rPr>
  </w:style>
  <w:style w:type="character" w:customStyle="1" w:styleId="OnderwerpvanopmerkingChar">
    <w:name w:val="Onderwerp van opmerking Char"/>
    <w:basedOn w:val="TekstopmerkingChar"/>
    <w:link w:val="Onderwerpvanopmerking"/>
    <w:uiPriority w:val="99"/>
    <w:semiHidden/>
    <w:rsid w:val="00C411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C03BED-5ED7-4AF4-9800-7D68F4A5008A}">
  <ds:schemaRefs>
    <ds:schemaRef ds:uri="http://schemas.openxmlformats.org/officeDocument/2006/bibliography"/>
  </ds:schemaRefs>
</ds:datastoreItem>
</file>

<file path=customXml/itemProps2.xml><?xml version="1.0" encoding="utf-8"?>
<ds:datastoreItem xmlns:ds="http://schemas.openxmlformats.org/officeDocument/2006/customXml" ds:itemID="{C26D3666-508F-4C48-95AF-0F7CEC110B9C}"/>
</file>

<file path=customXml/itemProps3.xml><?xml version="1.0" encoding="utf-8"?>
<ds:datastoreItem xmlns:ds="http://schemas.openxmlformats.org/officeDocument/2006/customXml" ds:itemID="{C0989016-1B0D-4C8E-8DAF-CDC8739C7D77}"/>
</file>

<file path=customXml/itemProps4.xml><?xml version="1.0" encoding="utf-8"?>
<ds:datastoreItem xmlns:ds="http://schemas.openxmlformats.org/officeDocument/2006/customXml" ds:itemID="{D48462C2-6426-4178-A4EA-027A0DFD5468}"/>
</file>

<file path=docProps/app.xml><?xml version="1.0" encoding="utf-8"?>
<Properties xmlns="http://schemas.openxmlformats.org/officeDocument/2006/extended-properties" xmlns:vt="http://schemas.openxmlformats.org/officeDocument/2006/docPropsVTypes">
  <Template>D2172D7A</Template>
  <TotalTime>10</TotalTime>
  <Pages>5</Pages>
  <Words>1105</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7169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8</cp:revision>
  <cp:lastPrinted>2016-08-31T18:18:00Z</cp:lastPrinted>
  <dcterms:created xsi:type="dcterms:W3CDTF">2016-11-07T16:05:00Z</dcterms:created>
  <dcterms:modified xsi:type="dcterms:W3CDTF">2017-08-21T12:34:00Z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