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F36B63" w:rsidRDefault="00F36B63" w:rsidP="002F57B5">
      <w:pPr>
        <w:pStyle w:val="TemplateHeadline"/>
        <w:rPr>
          <w:rFonts w:asciiTheme="minorHAnsi" w:hAnsiTheme="minorHAnsi" w:cstheme="minorHAnsi"/>
        </w:rPr>
      </w:pPr>
      <w:r>
        <w:rPr>
          <w:rFonts w:asciiTheme="minorHAnsi" w:hAnsiTheme="minorHAnsi" w:cstheme="minorHAnsi"/>
          <w:sz w:val="22"/>
          <w:szCs w:val="22"/>
          <w:lang w:val="nl-NL"/>
        </w:rPr>
        <w:br/>
      </w:r>
      <w:r w:rsidR="00C6368B" w:rsidRPr="00F36B63">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1514475</wp:posOffset>
                </wp:positionV>
                <wp:extent cx="6400800" cy="47434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74345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r w:rsidRPr="00D24D8B">
                              <w:rPr>
                                <w:rFonts w:asciiTheme="majorHAnsi" w:hAnsiTheme="majorHAnsi" w:cstheme="majorHAnsi"/>
                                <w:lang w:val="nl-NL"/>
                              </w:rPr>
                              <w:t xml:space="preserve">Standaard </w:t>
                            </w:r>
                            <w:r w:rsidR="00FB3271" w:rsidRPr="00FB3271">
                              <w:rPr>
                                <w:rFonts w:asciiTheme="majorHAnsi" w:hAnsiTheme="majorHAnsi" w:cstheme="majorHAnsi"/>
                                <w:lang w:val="nl-NL"/>
                              </w:rPr>
                              <w:t>2130 – Beheersing</w:t>
                            </w:r>
                          </w:p>
                          <w:p w:rsidR="00FB3271" w:rsidRPr="00F36B63" w:rsidRDefault="00FB3271" w:rsidP="00FB3271">
                            <w:pPr>
                              <w:spacing w:before="100" w:beforeAutospacing="1" w:after="100" w:afterAutospacing="1"/>
                              <w:rPr>
                                <w:rFonts w:ascii="Arial" w:hAnsi="Arial" w:cs="Arial"/>
                                <w:color w:val="000000"/>
                                <w:sz w:val="22"/>
                                <w:szCs w:val="22"/>
                                <w:lang w:val="nl-NL"/>
                              </w:rPr>
                            </w:pPr>
                            <w:r w:rsidRPr="00F36B63">
                              <w:rPr>
                                <w:rFonts w:ascii="Arial" w:hAnsi="Arial" w:cs="Arial"/>
                                <w:color w:val="000000"/>
                                <w:sz w:val="22"/>
                                <w:szCs w:val="22"/>
                                <w:lang w:val="nl-NL"/>
                              </w:rPr>
                              <w:t>De internal-auditfunctie moet de organisatie ondersteunen bij het handhaven van doeltreffende interne beheersmaatregelen, door de doeltreffendheid en doelmatigheid daarvan te evalueren en een voortdurende verbetering te bevorderen.</w:t>
                            </w:r>
                          </w:p>
                          <w:p w:rsidR="00FB3271" w:rsidRPr="00F36B63" w:rsidRDefault="00FB3271" w:rsidP="00FB3271">
                            <w:pPr>
                              <w:spacing w:before="100" w:beforeAutospacing="1" w:after="100" w:afterAutospacing="1"/>
                              <w:rPr>
                                <w:rFonts w:ascii="Arial" w:hAnsi="Arial" w:cs="Arial"/>
                                <w:color w:val="000000"/>
                                <w:sz w:val="22"/>
                                <w:szCs w:val="22"/>
                                <w:lang w:val="nl-NL"/>
                              </w:rPr>
                            </w:pPr>
                            <w:r w:rsidRPr="00F36B63">
                              <w:rPr>
                                <w:rFonts w:ascii="Arial" w:hAnsi="Arial" w:cs="Arial"/>
                                <w:b/>
                                <w:color w:val="000000"/>
                                <w:sz w:val="22"/>
                                <w:szCs w:val="22"/>
                                <w:lang w:val="nl-NL"/>
                              </w:rPr>
                              <w:t>2130.A1</w:t>
                            </w:r>
                            <w:r w:rsidRPr="00F36B63">
                              <w:rPr>
                                <w:rFonts w:ascii="Arial" w:hAnsi="Arial" w:cs="Arial"/>
                                <w:color w:val="000000"/>
                                <w:sz w:val="22"/>
                                <w:szCs w:val="22"/>
                                <w:lang w:val="nl-NL"/>
                              </w:rPr>
                              <w:t xml:space="preserve"> – De internal-auditfunctie moet de toepasselijkheid en de doeltreffendheid van de beheersmaatregelen evalueren bij het inspelen op risico’s binnen de </w:t>
                            </w:r>
                            <w:proofErr w:type="spellStart"/>
                            <w:r w:rsidRPr="00F36B63">
                              <w:rPr>
                                <w:rFonts w:ascii="Arial" w:hAnsi="Arial" w:cs="Arial"/>
                                <w:color w:val="000000"/>
                                <w:sz w:val="22"/>
                                <w:szCs w:val="22"/>
                                <w:lang w:val="nl-NL"/>
                              </w:rPr>
                              <w:t>governance</w:t>
                            </w:r>
                            <w:proofErr w:type="spellEnd"/>
                            <w:r w:rsidRPr="00F36B63">
                              <w:rPr>
                                <w:rFonts w:ascii="Arial" w:hAnsi="Arial" w:cs="Arial"/>
                                <w:color w:val="000000"/>
                                <w:sz w:val="22"/>
                                <w:szCs w:val="22"/>
                                <w:lang w:val="nl-NL"/>
                              </w:rPr>
                              <w:t xml:space="preserve"> en de operationele- en informatiesystemen van de organisatie met betrekking tot:</w:t>
                            </w:r>
                          </w:p>
                          <w:p w:rsidR="00FB3271" w:rsidRPr="00F36B63" w:rsidRDefault="00FB3271" w:rsidP="00FB3271">
                            <w:pPr>
                              <w:pStyle w:val="RedBullets"/>
                              <w:rPr>
                                <w:sz w:val="22"/>
                                <w:szCs w:val="22"/>
                                <w:lang w:val="nl-NL"/>
                              </w:rPr>
                            </w:pPr>
                            <w:r w:rsidRPr="00F36B63">
                              <w:rPr>
                                <w:sz w:val="22"/>
                                <w:szCs w:val="22"/>
                                <w:lang w:val="nl-NL"/>
                              </w:rPr>
                              <w:t>verwezenlijking van de strategische doelstellingen van organisatie;</w:t>
                            </w:r>
                          </w:p>
                          <w:p w:rsidR="00FB3271" w:rsidRPr="00F36B63" w:rsidRDefault="00FB3271" w:rsidP="00FB3271">
                            <w:pPr>
                              <w:pStyle w:val="RedBullets"/>
                              <w:rPr>
                                <w:sz w:val="22"/>
                                <w:szCs w:val="22"/>
                                <w:lang w:val="nl-NL"/>
                              </w:rPr>
                            </w:pPr>
                            <w:r w:rsidRPr="00F36B63">
                              <w:rPr>
                                <w:sz w:val="22"/>
                                <w:szCs w:val="22"/>
                                <w:lang w:val="nl-NL"/>
                              </w:rPr>
                              <w:t>betrouwbaarheid en integriteit van de financiële en operationele informatie;</w:t>
                            </w:r>
                          </w:p>
                          <w:p w:rsidR="00FB3271" w:rsidRPr="00F36B63" w:rsidRDefault="00FB3271" w:rsidP="00FB3271">
                            <w:pPr>
                              <w:pStyle w:val="RedBullets"/>
                              <w:rPr>
                                <w:sz w:val="22"/>
                                <w:szCs w:val="22"/>
                                <w:lang w:val="nl-NL"/>
                              </w:rPr>
                            </w:pPr>
                            <w:r w:rsidRPr="00F36B63">
                              <w:rPr>
                                <w:sz w:val="22"/>
                                <w:szCs w:val="22"/>
                                <w:lang w:val="nl-NL"/>
                              </w:rPr>
                              <w:t>doelmatigheid en efficiëntie van de bedrijfsactiviteiten en -programma's;</w:t>
                            </w:r>
                          </w:p>
                          <w:p w:rsidR="00FB3271" w:rsidRPr="00F36B63" w:rsidRDefault="00FB3271" w:rsidP="00FB3271">
                            <w:pPr>
                              <w:pStyle w:val="RedBullets"/>
                              <w:rPr>
                                <w:sz w:val="22"/>
                                <w:szCs w:val="22"/>
                                <w:lang w:val="nl-NL"/>
                              </w:rPr>
                            </w:pPr>
                            <w:r w:rsidRPr="00F36B63">
                              <w:rPr>
                                <w:sz w:val="22"/>
                                <w:szCs w:val="22"/>
                                <w:lang w:val="nl-NL"/>
                              </w:rPr>
                              <w:t>bescherming van de activa;</w:t>
                            </w:r>
                          </w:p>
                          <w:p w:rsidR="00FB3271" w:rsidRPr="00F36B63" w:rsidRDefault="00FB3271" w:rsidP="00FB3271">
                            <w:pPr>
                              <w:pStyle w:val="RedBullets"/>
                              <w:rPr>
                                <w:sz w:val="22"/>
                                <w:szCs w:val="22"/>
                                <w:lang w:val="nl-NL"/>
                              </w:rPr>
                            </w:pPr>
                            <w:r w:rsidRPr="00F36B63">
                              <w:rPr>
                                <w:sz w:val="22"/>
                                <w:szCs w:val="22"/>
                                <w:lang w:val="nl-NL"/>
                              </w:rPr>
                              <w:t>naleving van wet- en regelgeving, beleidsmaatregelen, procedures en contracten.</w:t>
                            </w:r>
                          </w:p>
                          <w:p w:rsidR="00FB3271" w:rsidRPr="00F36B63" w:rsidRDefault="00FB3271" w:rsidP="00FB3271">
                            <w:pPr>
                              <w:spacing w:before="100" w:beforeAutospacing="1" w:after="100" w:afterAutospacing="1"/>
                              <w:rPr>
                                <w:rFonts w:ascii="Arial" w:hAnsi="Arial" w:cs="Arial"/>
                                <w:color w:val="000000"/>
                                <w:sz w:val="22"/>
                                <w:szCs w:val="22"/>
                                <w:lang w:val="nl-NL"/>
                              </w:rPr>
                            </w:pPr>
                            <w:r w:rsidRPr="00F36B63">
                              <w:rPr>
                                <w:rFonts w:ascii="Arial" w:hAnsi="Arial" w:cs="Arial"/>
                                <w:b/>
                                <w:color w:val="000000"/>
                                <w:sz w:val="22"/>
                                <w:szCs w:val="22"/>
                                <w:lang w:val="nl-NL"/>
                              </w:rPr>
                              <w:t>2130.C1</w:t>
                            </w:r>
                            <w:r w:rsidRPr="00F36B63">
                              <w:rPr>
                                <w:rFonts w:ascii="Arial" w:hAnsi="Arial" w:cs="Arial"/>
                                <w:color w:val="000000"/>
                                <w:sz w:val="22"/>
                                <w:szCs w:val="22"/>
                                <w:lang w:val="nl-NL"/>
                              </w:rPr>
                              <w:t xml:space="preserve"> –Internal auditors moeten de kennis inzake beheersmaatregelen die zij hebben opgedaan tijdens eerdere opdrachten verwerken in hun beoordeling van de beheersprocessen van de organisatie.</w:t>
                            </w:r>
                          </w:p>
                          <w:p w:rsidR="000B590C" w:rsidRPr="00F36B63" w:rsidRDefault="000B590C" w:rsidP="00F36B63">
                            <w:pPr>
                              <w:pStyle w:val="RedBullets"/>
                              <w:numPr>
                                <w:ilvl w:val="0"/>
                                <w:numId w:val="0"/>
                              </w:numPr>
                              <w:jc w:val="right"/>
                              <w:rPr>
                                <w:i/>
                                <w:sz w:val="22"/>
                                <w:szCs w:val="22"/>
                              </w:rPr>
                            </w:pPr>
                            <w:proofErr w:type="spellStart"/>
                            <w:r w:rsidRPr="00F36B63">
                              <w:rPr>
                                <w:rFonts w:cstheme="majorHAnsi"/>
                                <w:sz w:val="22"/>
                                <w:szCs w:val="22"/>
                                <w:lang w:val="nl-NL"/>
                              </w:rPr>
                              <w:t>Herziene</w:t>
                            </w:r>
                            <w:proofErr w:type="spellEnd"/>
                            <w:r w:rsidRPr="00F36B63">
                              <w:rPr>
                                <w:rFonts w:cstheme="majorHAnsi"/>
                                <w:sz w:val="22"/>
                                <w:szCs w:val="22"/>
                                <w:lang w:val="nl-NL"/>
                              </w:rPr>
                              <w:t xml:space="preserve"> </w:t>
                            </w:r>
                            <w:r w:rsidRPr="00F36B63">
                              <w:rPr>
                                <w:rFonts w:cstheme="majorHAnsi"/>
                                <w:i/>
                                <w:sz w:val="22"/>
                                <w:szCs w:val="22"/>
                                <w:lang w:val="nl-NL"/>
                              </w:rPr>
                              <w:t>Standaarden</w:t>
                            </w:r>
                            <w:r w:rsidRPr="00F36B63">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9.25pt;width:7in;height:373.5pt;z-index:251658240;visibility:visible;mso-wrap-style:square;mso-width-percent:0;mso-height-percent:0;mso-wrap-distance-left:9pt;mso-wrap-distance-top:165.6pt;mso-wrap-distance-right:9pt;mso-wrap-distance-bottom:21.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r w:rsidRPr="00D24D8B">
                        <w:rPr>
                          <w:rFonts w:asciiTheme="majorHAnsi" w:hAnsiTheme="majorHAnsi" w:cstheme="majorHAnsi"/>
                          <w:lang w:val="nl-NL"/>
                        </w:rPr>
                        <w:t xml:space="preserve">Standaard </w:t>
                      </w:r>
                      <w:r w:rsidR="00FB3271" w:rsidRPr="00FB3271">
                        <w:rPr>
                          <w:rFonts w:asciiTheme="majorHAnsi" w:hAnsiTheme="majorHAnsi" w:cstheme="majorHAnsi"/>
                          <w:lang w:val="nl-NL"/>
                        </w:rPr>
                        <w:t>2130 – Beheersing</w:t>
                      </w:r>
                    </w:p>
                    <w:p w:rsidR="00FB3271" w:rsidRPr="00F36B63" w:rsidRDefault="00FB3271" w:rsidP="00FB3271">
                      <w:pPr>
                        <w:spacing w:before="100" w:beforeAutospacing="1" w:after="100" w:afterAutospacing="1"/>
                        <w:rPr>
                          <w:rFonts w:ascii="Arial" w:hAnsi="Arial" w:cs="Arial"/>
                          <w:color w:val="000000"/>
                          <w:sz w:val="22"/>
                          <w:szCs w:val="22"/>
                          <w:lang w:val="nl-NL"/>
                        </w:rPr>
                      </w:pPr>
                      <w:r w:rsidRPr="00F36B63">
                        <w:rPr>
                          <w:rFonts w:ascii="Arial" w:hAnsi="Arial" w:cs="Arial"/>
                          <w:color w:val="000000"/>
                          <w:sz w:val="22"/>
                          <w:szCs w:val="22"/>
                          <w:lang w:val="nl-NL"/>
                        </w:rPr>
                        <w:t>De internal-auditfunctie moet de organisatie ondersteunen bij het handhaven van doeltreffende interne beheersmaatregelen, door de doeltreffendheid en doelmatigheid daarvan te evalueren en een voortdurende verbetering te bevorderen.</w:t>
                      </w:r>
                    </w:p>
                    <w:p w:rsidR="00FB3271" w:rsidRPr="00F36B63" w:rsidRDefault="00FB3271" w:rsidP="00FB3271">
                      <w:pPr>
                        <w:spacing w:before="100" w:beforeAutospacing="1" w:after="100" w:afterAutospacing="1"/>
                        <w:rPr>
                          <w:rFonts w:ascii="Arial" w:hAnsi="Arial" w:cs="Arial"/>
                          <w:color w:val="000000"/>
                          <w:sz w:val="22"/>
                          <w:szCs w:val="22"/>
                          <w:lang w:val="nl-NL"/>
                        </w:rPr>
                      </w:pPr>
                      <w:r w:rsidRPr="00F36B63">
                        <w:rPr>
                          <w:rFonts w:ascii="Arial" w:hAnsi="Arial" w:cs="Arial"/>
                          <w:b/>
                          <w:color w:val="000000"/>
                          <w:sz w:val="22"/>
                          <w:szCs w:val="22"/>
                          <w:lang w:val="nl-NL"/>
                        </w:rPr>
                        <w:t>2130.A1</w:t>
                      </w:r>
                      <w:r w:rsidRPr="00F36B63">
                        <w:rPr>
                          <w:rFonts w:ascii="Arial" w:hAnsi="Arial" w:cs="Arial"/>
                          <w:color w:val="000000"/>
                          <w:sz w:val="22"/>
                          <w:szCs w:val="22"/>
                          <w:lang w:val="nl-NL"/>
                        </w:rPr>
                        <w:t xml:space="preserve"> – De internal-auditfunctie moet de toepasselijkheid en de doeltreffendheid van de beheersmaatregelen evalueren bij het inspelen op risico’s binnen de </w:t>
                      </w:r>
                      <w:proofErr w:type="spellStart"/>
                      <w:r w:rsidRPr="00F36B63">
                        <w:rPr>
                          <w:rFonts w:ascii="Arial" w:hAnsi="Arial" w:cs="Arial"/>
                          <w:color w:val="000000"/>
                          <w:sz w:val="22"/>
                          <w:szCs w:val="22"/>
                          <w:lang w:val="nl-NL"/>
                        </w:rPr>
                        <w:t>governance</w:t>
                      </w:r>
                      <w:proofErr w:type="spellEnd"/>
                      <w:r w:rsidRPr="00F36B63">
                        <w:rPr>
                          <w:rFonts w:ascii="Arial" w:hAnsi="Arial" w:cs="Arial"/>
                          <w:color w:val="000000"/>
                          <w:sz w:val="22"/>
                          <w:szCs w:val="22"/>
                          <w:lang w:val="nl-NL"/>
                        </w:rPr>
                        <w:t xml:space="preserve"> en de operationele- en informatiesystemen van de organisatie met betrekking tot:</w:t>
                      </w:r>
                    </w:p>
                    <w:p w:rsidR="00FB3271" w:rsidRPr="00F36B63" w:rsidRDefault="00FB3271" w:rsidP="00FB3271">
                      <w:pPr>
                        <w:pStyle w:val="RedBullets"/>
                        <w:rPr>
                          <w:sz w:val="22"/>
                          <w:szCs w:val="22"/>
                          <w:lang w:val="nl-NL"/>
                        </w:rPr>
                      </w:pPr>
                      <w:r w:rsidRPr="00F36B63">
                        <w:rPr>
                          <w:sz w:val="22"/>
                          <w:szCs w:val="22"/>
                          <w:lang w:val="nl-NL"/>
                        </w:rPr>
                        <w:t>verwezenlijking van de strategische doelstellingen van organisatie;</w:t>
                      </w:r>
                    </w:p>
                    <w:p w:rsidR="00FB3271" w:rsidRPr="00F36B63" w:rsidRDefault="00FB3271" w:rsidP="00FB3271">
                      <w:pPr>
                        <w:pStyle w:val="RedBullets"/>
                        <w:rPr>
                          <w:sz w:val="22"/>
                          <w:szCs w:val="22"/>
                          <w:lang w:val="nl-NL"/>
                        </w:rPr>
                      </w:pPr>
                      <w:r w:rsidRPr="00F36B63">
                        <w:rPr>
                          <w:sz w:val="22"/>
                          <w:szCs w:val="22"/>
                          <w:lang w:val="nl-NL"/>
                        </w:rPr>
                        <w:t>betrouwbaarheid en integriteit van de financiële en operationele informatie;</w:t>
                      </w:r>
                    </w:p>
                    <w:p w:rsidR="00FB3271" w:rsidRPr="00F36B63" w:rsidRDefault="00FB3271" w:rsidP="00FB3271">
                      <w:pPr>
                        <w:pStyle w:val="RedBullets"/>
                        <w:rPr>
                          <w:sz w:val="22"/>
                          <w:szCs w:val="22"/>
                          <w:lang w:val="nl-NL"/>
                        </w:rPr>
                      </w:pPr>
                      <w:r w:rsidRPr="00F36B63">
                        <w:rPr>
                          <w:sz w:val="22"/>
                          <w:szCs w:val="22"/>
                          <w:lang w:val="nl-NL"/>
                        </w:rPr>
                        <w:t>doelmatigheid en efficiëntie van de bedrijfsactiviteiten en -programma's;</w:t>
                      </w:r>
                    </w:p>
                    <w:p w:rsidR="00FB3271" w:rsidRPr="00F36B63" w:rsidRDefault="00FB3271" w:rsidP="00FB3271">
                      <w:pPr>
                        <w:pStyle w:val="RedBullets"/>
                        <w:rPr>
                          <w:sz w:val="22"/>
                          <w:szCs w:val="22"/>
                          <w:lang w:val="nl-NL"/>
                        </w:rPr>
                      </w:pPr>
                      <w:r w:rsidRPr="00F36B63">
                        <w:rPr>
                          <w:sz w:val="22"/>
                          <w:szCs w:val="22"/>
                          <w:lang w:val="nl-NL"/>
                        </w:rPr>
                        <w:t>bescherming van de activa;</w:t>
                      </w:r>
                    </w:p>
                    <w:p w:rsidR="00FB3271" w:rsidRPr="00F36B63" w:rsidRDefault="00FB3271" w:rsidP="00FB3271">
                      <w:pPr>
                        <w:pStyle w:val="RedBullets"/>
                        <w:rPr>
                          <w:sz w:val="22"/>
                          <w:szCs w:val="22"/>
                          <w:lang w:val="nl-NL"/>
                        </w:rPr>
                      </w:pPr>
                      <w:r w:rsidRPr="00F36B63">
                        <w:rPr>
                          <w:sz w:val="22"/>
                          <w:szCs w:val="22"/>
                          <w:lang w:val="nl-NL"/>
                        </w:rPr>
                        <w:t>naleving van wet- en regelgeving, beleidsmaatregelen, procedures en contracten.</w:t>
                      </w:r>
                    </w:p>
                    <w:p w:rsidR="00FB3271" w:rsidRPr="00F36B63" w:rsidRDefault="00FB3271" w:rsidP="00FB3271">
                      <w:pPr>
                        <w:spacing w:before="100" w:beforeAutospacing="1" w:after="100" w:afterAutospacing="1"/>
                        <w:rPr>
                          <w:rFonts w:ascii="Arial" w:hAnsi="Arial" w:cs="Arial"/>
                          <w:color w:val="000000"/>
                          <w:sz w:val="22"/>
                          <w:szCs w:val="22"/>
                          <w:lang w:val="nl-NL"/>
                        </w:rPr>
                      </w:pPr>
                      <w:r w:rsidRPr="00F36B63">
                        <w:rPr>
                          <w:rFonts w:ascii="Arial" w:hAnsi="Arial" w:cs="Arial"/>
                          <w:b/>
                          <w:color w:val="000000"/>
                          <w:sz w:val="22"/>
                          <w:szCs w:val="22"/>
                          <w:lang w:val="nl-NL"/>
                        </w:rPr>
                        <w:t>2130.C1</w:t>
                      </w:r>
                      <w:r w:rsidRPr="00F36B63">
                        <w:rPr>
                          <w:rFonts w:ascii="Arial" w:hAnsi="Arial" w:cs="Arial"/>
                          <w:color w:val="000000"/>
                          <w:sz w:val="22"/>
                          <w:szCs w:val="22"/>
                          <w:lang w:val="nl-NL"/>
                        </w:rPr>
                        <w:t xml:space="preserve"> –Internal auditors moeten de kennis inzake beheersmaatregelen die zij hebben opgedaan tijdens eerdere opdrachten verwerken in hun beoordeling van de beheersprocessen van de organisatie.</w:t>
                      </w:r>
                    </w:p>
                    <w:p w:rsidR="000B590C" w:rsidRPr="00F36B63" w:rsidRDefault="000B590C" w:rsidP="00F36B63">
                      <w:pPr>
                        <w:pStyle w:val="RedBullets"/>
                        <w:numPr>
                          <w:ilvl w:val="0"/>
                          <w:numId w:val="0"/>
                        </w:numPr>
                        <w:jc w:val="right"/>
                        <w:rPr>
                          <w:i/>
                          <w:sz w:val="22"/>
                          <w:szCs w:val="22"/>
                        </w:rPr>
                      </w:pPr>
                      <w:proofErr w:type="spellStart"/>
                      <w:r w:rsidRPr="00F36B63">
                        <w:rPr>
                          <w:rFonts w:cstheme="majorHAnsi"/>
                          <w:sz w:val="22"/>
                          <w:szCs w:val="22"/>
                          <w:lang w:val="nl-NL"/>
                        </w:rPr>
                        <w:t>Herziene</w:t>
                      </w:r>
                      <w:proofErr w:type="spellEnd"/>
                      <w:r w:rsidRPr="00F36B63">
                        <w:rPr>
                          <w:rFonts w:cstheme="majorHAnsi"/>
                          <w:sz w:val="22"/>
                          <w:szCs w:val="22"/>
                          <w:lang w:val="nl-NL"/>
                        </w:rPr>
                        <w:t xml:space="preserve"> </w:t>
                      </w:r>
                      <w:r w:rsidRPr="00F36B63">
                        <w:rPr>
                          <w:rFonts w:cstheme="majorHAnsi"/>
                          <w:i/>
                          <w:sz w:val="22"/>
                          <w:szCs w:val="22"/>
                          <w:lang w:val="nl-NL"/>
                        </w:rPr>
                        <w:t>Standaarden</w:t>
                      </w:r>
                      <w:r w:rsidRPr="00F36B63">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F36B63">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21</w:t>
                            </w:r>
                            <w:r w:rsidR="00FB3271">
                              <w:rPr>
                                <w:color w:val="FFFFFF" w:themeColor="background1"/>
                                <w:sz w:val="50"/>
                                <w:szCs w:val="50"/>
                                <w:lang w:val="nl-NL"/>
                                <w14:textOutline w14:w="9525" w14:cap="flat" w14:cmpd="sng" w14:algn="ctr">
                                  <w14:noFill/>
                                  <w14:prstDash w14:val="solid"/>
                                  <w14:round/>
                                </w14:textOutline>
                              </w:rPr>
                              <w:t>3</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21</w:t>
                      </w:r>
                      <w:r w:rsidR="00FB3271">
                        <w:rPr>
                          <w:color w:val="FFFFFF" w:themeColor="background1"/>
                          <w:sz w:val="50"/>
                          <w:szCs w:val="50"/>
                          <w:lang w:val="nl-NL"/>
                          <w14:textOutline w14:w="9525" w14:cap="flat" w14:cmpd="sng" w14:algn="ctr">
                            <w14:noFill/>
                            <w14:prstDash w14:val="solid"/>
                            <w14:round/>
                          </w14:textOutline>
                        </w:rPr>
                        <w:t>3</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F36B63">
        <w:rPr>
          <w:rFonts w:asciiTheme="minorHAnsi" w:hAnsiTheme="minorHAnsi" w:cstheme="minorHAnsi"/>
          <w:lang w:val="nl-NL"/>
        </w:rPr>
        <w:t xml:space="preserve">Inleiding </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Om aan deze standaard te voldoen beginnen het hoofd van de internal auditfunctie (CAE) en internal auditors ermee om zich eerst een helder inzicht in het concept van beheersing en de kenmerken van typische beheersingsprocessen te verschaffen. Zij dienen ook de formele definitie van beheersing te </w:t>
      </w:r>
      <w:r w:rsidRPr="00F36B63">
        <w:rPr>
          <w:rFonts w:asciiTheme="minorHAnsi" w:hAnsiTheme="minorHAnsi" w:cstheme="minorHAnsi"/>
          <w:color w:val="000000"/>
          <w:sz w:val="22"/>
          <w:szCs w:val="22"/>
          <w:lang w:val="nl-NL"/>
        </w:rPr>
        <w:lastRenderedPageBreak/>
        <w:t xml:space="preserve">overwegen, zoals vermeld in de woordenlijst van de </w:t>
      </w:r>
      <w:r w:rsidRPr="00F36B63">
        <w:rPr>
          <w:rFonts w:asciiTheme="minorHAnsi" w:hAnsiTheme="minorHAnsi" w:cstheme="minorHAnsi"/>
          <w:i/>
          <w:iCs/>
          <w:color w:val="000000"/>
          <w:sz w:val="22"/>
          <w:szCs w:val="22"/>
          <w:lang w:val="nl-NL"/>
        </w:rPr>
        <w:t>Internationale Standaarden voor de Beroepsuitoefening van internal auditing</w:t>
      </w:r>
      <w:r w:rsidRPr="00F36B63">
        <w:rPr>
          <w:rFonts w:asciiTheme="minorHAnsi" w:hAnsiTheme="minorHAnsi" w:cstheme="minorHAnsi"/>
          <w:color w:val="000000"/>
          <w:sz w:val="22"/>
          <w:szCs w:val="22"/>
          <w:lang w:val="nl-NL"/>
        </w:rPr>
        <w:t xml:space="preserve">, evenals Implementatierichtlijn 2100 – Aard van het werk. De CAE neemt door middel van gesprekken met senior management en het bestuur de risicobereidheid, risicotolerantie en risicocultuur van de organisatie in overweging. Het is belangrijk voor internal auditors om de kritieke risico's te begrijpen die het vermogen van de organisatie kunnen belemmeren om de doelstellingen te bereiken en de beheersingsmaatregelen uit te voeren teneinde risico's tot een acceptabel niveau te beperken. </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Internal auditors vinden het nuttig om de resultaten te evalueren van eerder uitgevoerde evaluaties van belangrijke beheersingsmaatregelen, gerelateerde actieplannen en de mogelijke effecten van recente </w:t>
      </w:r>
      <w:proofErr w:type="spellStart"/>
      <w:r w:rsidRPr="00F36B63">
        <w:rPr>
          <w:rFonts w:asciiTheme="minorHAnsi" w:hAnsiTheme="minorHAnsi" w:cstheme="minorHAnsi"/>
          <w:color w:val="000000"/>
          <w:sz w:val="22"/>
          <w:szCs w:val="22"/>
          <w:lang w:val="nl-NL"/>
        </w:rPr>
        <w:t>bedrijfsgerelateerde</w:t>
      </w:r>
      <w:proofErr w:type="spellEnd"/>
      <w:r w:rsidRPr="00F36B63">
        <w:rPr>
          <w:rFonts w:asciiTheme="minorHAnsi" w:hAnsiTheme="minorHAnsi" w:cstheme="minorHAnsi"/>
          <w:color w:val="000000"/>
          <w:sz w:val="22"/>
          <w:szCs w:val="22"/>
          <w:lang w:val="nl-NL"/>
        </w:rPr>
        <w:t xml:space="preserve"> veranderingen die nieuwe risico's kunnen opleveren. Internal auditors willen mogelijk de afdeling juridische zaken van de organisatie, de belangrijkste compliance </w:t>
      </w:r>
      <w:proofErr w:type="spellStart"/>
      <w:r w:rsidRPr="00F36B63">
        <w:rPr>
          <w:rFonts w:asciiTheme="minorHAnsi" w:hAnsiTheme="minorHAnsi" w:cstheme="minorHAnsi"/>
          <w:color w:val="000000"/>
          <w:sz w:val="22"/>
          <w:szCs w:val="22"/>
          <w:lang w:val="nl-NL"/>
        </w:rPr>
        <w:t>officer</w:t>
      </w:r>
      <w:proofErr w:type="spellEnd"/>
      <w:r w:rsidRPr="00F36B63">
        <w:rPr>
          <w:rFonts w:asciiTheme="minorHAnsi" w:hAnsiTheme="minorHAnsi" w:cstheme="minorHAnsi"/>
          <w:color w:val="000000"/>
          <w:sz w:val="22"/>
          <w:szCs w:val="22"/>
          <w:lang w:val="nl-NL"/>
        </w:rPr>
        <w:t xml:space="preserve"> of andere relevante partijen raadplegen over wet- en regelgeving en voorschriften waaraan de organisatie moet voldoen. Het is nuttig als de internal auditfunctie inziet hoe de organisatie op de hoogte blijft van wijzigingen in wettelijke vereisten en ervoor zorgt dat eraan wordt voldaan. </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Het is belangrijk voor internal auditors om een ​​grondig inzicht te krijgen in het (de) raamwerk(en) voor beheersing dat of die de organisatie formeel of informeel heeft goedgekeurd en vertrouwd te raken met mondiaal erkende, uitgebreide </w:t>
      </w:r>
      <w:proofErr w:type="spellStart"/>
      <w:r w:rsidRPr="00F36B63">
        <w:rPr>
          <w:rFonts w:asciiTheme="minorHAnsi" w:hAnsiTheme="minorHAnsi" w:cstheme="minorHAnsi"/>
          <w:color w:val="000000"/>
          <w:sz w:val="22"/>
          <w:szCs w:val="22"/>
          <w:lang w:val="nl-NL"/>
        </w:rPr>
        <w:t>beheersraamwerken</w:t>
      </w:r>
      <w:proofErr w:type="spellEnd"/>
      <w:r w:rsidRPr="00F36B63">
        <w:rPr>
          <w:rFonts w:asciiTheme="minorHAnsi" w:hAnsiTheme="minorHAnsi" w:cstheme="minorHAnsi"/>
          <w:color w:val="000000"/>
          <w:sz w:val="22"/>
          <w:szCs w:val="22"/>
          <w:lang w:val="nl-NL"/>
        </w:rPr>
        <w:t xml:space="preserve"> zoals </w:t>
      </w:r>
      <w:r w:rsidRPr="00F36B63">
        <w:rPr>
          <w:rFonts w:asciiTheme="minorHAnsi" w:hAnsiTheme="minorHAnsi" w:cstheme="minorHAnsi"/>
          <w:i/>
          <w:iCs/>
          <w:color w:val="000000"/>
          <w:sz w:val="22"/>
          <w:szCs w:val="22"/>
          <w:lang w:val="nl-NL"/>
        </w:rPr>
        <w:t>Interne beheersing – Geïntegreerd raamwerk</w:t>
      </w:r>
      <w:r w:rsidRPr="00F36B63">
        <w:rPr>
          <w:rFonts w:asciiTheme="minorHAnsi" w:hAnsiTheme="minorHAnsi" w:cstheme="minorHAnsi"/>
          <w:color w:val="000000"/>
          <w:sz w:val="22"/>
          <w:szCs w:val="22"/>
          <w:lang w:val="nl-NL"/>
        </w:rPr>
        <w:t xml:space="preserve">, uitgegeven door The </w:t>
      </w:r>
      <w:proofErr w:type="spellStart"/>
      <w:r w:rsidRPr="00F36B63">
        <w:rPr>
          <w:rFonts w:asciiTheme="minorHAnsi" w:hAnsiTheme="minorHAnsi" w:cstheme="minorHAnsi"/>
          <w:color w:val="000000"/>
          <w:sz w:val="22"/>
          <w:szCs w:val="22"/>
          <w:lang w:val="nl-NL"/>
        </w:rPr>
        <w:t>Committee</w:t>
      </w:r>
      <w:proofErr w:type="spellEnd"/>
      <w:r w:rsidRPr="00F36B63">
        <w:rPr>
          <w:rFonts w:asciiTheme="minorHAnsi" w:hAnsiTheme="minorHAnsi" w:cstheme="minorHAnsi"/>
          <w:color w:val="000000"/>
          <w:sz w:val="22"/>
          <w:szCs w:val="22"/>
          <w:lang w:val="nl-NL"/>
        </w:rPr>
        <w:t xml:space="preserve"> of Sponsoring </w:t>
      </w:r>
      <w:proofErr w:type="spellStart"/>
      <w:r w:rsidRPr="00F36B63">
        <w:rPr>
          <w:rFonts w:asciiTheme="minorHAnsi" w:hAnsiTheme="minorHAnsi" w:cstheme="minorHAnsi"/>
          <w:color w:val="000000"/>
          <w:sz w:val="22"/>
          <w:szCs w:val="22"/>
          <w:lang w:val="nl-NL"/>
        </w:rPr>
        <w:t>Organizations</w:t>
      </w:r>
      <w:proofErr w:type="spellEnd"/>
      <w:r w:rsidRPr="00F36B63">
        <w:rPr>
          <w:rFonts w:asciiTheme="minorHAnsi" w:hAnsiTheme="minorHAnsi" w:cstheme="minorHAnsi"/>
          <w:color w:val="000000"/>
          <w:sz w:val="22"/>
          <w:szCs w:val="22"/>
          <w:lang w:val="nl-NL"/>
        </w:rPr>
        <w:t xml:space="preserve"> van de Treadway </w:t>
      </w:r>
      <w:proofErr w:type="spellStart"/>
      <w:r w:rsidRPr="00F36B63">
        <w:rPr>
          <w:rFonts w:asciiTheme="minorHAnsi" w:hAnsiTheme="minorHAnsi" w:cstheme="minorHAnsi"/>
          <w:color w:val="000000"/>
          <w:sz w:val="22"/>
          <w:szCs w:val="22"/>
          <w:lang w:val="nl-NL"/>
        </w:rPr>
        <w:t>Commission</w:t>
      </w:r>
      <w:proofErr w:type="spellEnd"/>
      <w:r w:rsidRPr="00F36B63">
        <w:rPr>
          <w:rFonts w:asciiTheme="minorHAnsi" w:hAnsiTheme="minorHAnsi" w:cstheme="minorHAnsi"/>
          <w:color w:val="000000"/>
          <w:sz w:val="22"/>
          <w:szCs w:val="22"/>
          <w:lang w:val="nl-NL"/>
        </w:rPr>
        <w:t>. Hoewel de componenten, processen en toewijzing van de verantwoordelijkheid voor controles vergelijkbaar zijn in verschillende raamwerken, kan de terminologie die door verschillende raamwerken wordt gebruikt, variëren.</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Internal auditors dienen ook de verantwoordelijkheden te begrijpen die verband houden met de handhaving van effectieve beheersingsmaatregelen. Senior management houdt meestal toezicht op de oprichting, administratie en beoordeling van het beheersingssysteem. Het management is over het algemeen verantwoordelijk voor de beoordeling van beheersingsmaatregelen op hun respectieve gebieden. De internal auditfunctie biedt verschillende assurance-niveaus met betrekking tot de effectiviteit van de bestaande beheersprocessen. De verdeling van de verantwoordelijkheid kan in een management-</w:t>
      </w:r>
      <w:proofErr w:type="spellStart"/>
      <w:r w:rsidRPr="00F36B63">
        <w:rPr>
          <w:rFonts w:asciiTheme="minorHAnsi" w:hAnsiTheme="minorHAnsi" w:cstheme="minorHAnsi"/>
          <w:color w:val="000000"/>
          <w:sz w:val="22"/>
          <w:szCs w:val="22"/>
          <w:lang w:val="nl-NL"/>
        </w:rPr>
        <w:t>beheersbeleid</w:t>
      </w:r>
      <w:proofErr w:type="spellEnd"/>
      <w:r w:rsidRPr="00F36B63">
        <w:rPr>
          <w:rFonts w:asciiTheme="minorHAnsi" w:hAnsiTheme="minorHAnsi" w:cstheme="minorHAnsi"/>
          <w:color w:val="000000"/>
          <w:sz w:val="22"/>
          <w:szCs w:val="22"/>
          <w:lang w:val="nl-NL"/>
        </w:rPr>
        <w:t xml:space="preserve"> voor de organisatie zijn opgenomen. </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Tenslotte zou de internal auditfunctie een vaste procedure moeten hebben voor kwesties met betrekking tot planning, auditing en rapportage.</w:t>
      </w:r>
    </w:p>
    <w:p w:rsidR="002F57B5" w:rsidRPr="00F36B63" w:rsidRDefault="002F57B5" w:rsidP="002F57B5">
      <w:pPr>
        <w:pStyle w:val="TemplateHeadline"/>
        <w:rPr>
          <w:rFonts w:asciiTheme="minorHAnsi" w:hAnsiTheme="minorHAnsi" w:cstheme="minorHAnsi"/>
          <w:color w:val="000000"/>
          <w:sz w:val="24"/>
          <w:szCs w:val="24"/>
        </w:rPr>
      </w:pPr>
    </w:p>
    <w:p w:rsidR="002F57B5" w:rsidRPr="00F36B63" w:rsidRDefault="00685768" w:rsidP="002F57B5">
      <w:pPr>
        <w:pStyle w:val="TemplateHeadline"/>
        <w:rPr>
          <w:rFonts w:asciiTheme="minorHAnsi" w:hAnsiTheme="minorHAnsi" w:cstheme="minorHAnsi"/>
        </w:rPr>
      </w:pPr>
      <w:r w:rsidRPr="00F36B63">
        <w:rPr>
          <w:rFonts w:asciiTheme="minorHAnsi" w:hAnsiTheme="minorHAnsi" w:cstheme="minorHAnsi"/>
          <w:lang w:val="nl-NL"/>
        </w:rPr>
        <w:lastRenderedPageBreak/>
        <w:t xml:space="preserve">Overwegingen bij de implementatie </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De CAE en de gehele internal auditfunctie toont door de implementatie van de standaard uiteindelijk inzicht in de beheersprocessen van de organisatie, waarschuwt het management voor nieuwe </w:t>
      </w:r>
      <w:proofErr w:type="spellStart"/>
      <w:r w:rsidRPr="00F36B63">
        <w:rPr>
          <w:rFonts w:asciiTheme="minorHAnsi" w:hAnsiTheme="minorHAnsi" w:cstheme="minorHAnsi"/>
          <w:color w:val="000000"/>
          <w:sz w:val="22"/>
          <w:szCs w:val="22"/>
          <w:lang w:val="nl-NL"/>
        </w:rPr>
        <w:t>beheersproblemen</w:t>
      </w:r>
      <w:proofErr w:type="spellEnd"/>
      <w:r w:rsidRPr="00F36B63">
        <w:rPr>
          <w:rFonts w:asciiTheme="minorHAnsi" w:hAnsiTheme="minorHAnsi" w:cstheme="minorHAnsi"/>
          <w:color w:val="000000"/>
          <w:sz w:val="22"/>
          <w:szCs w:val="22"/>
          <w:lang w:val="nl-NL"/>
        </w:rPr>
        <w:t xml:space="preserve"> en verstrekt aanbevelingen en actieplannen voor corrigerende maatregelen en monitoring. De internal auditfunctie dient voldoende informatie te verkrijgen om de effectiviteit van de beheersprocessen van de organisatie te evalueren.</w:t>
      </w:r>
    </w:p>
    <w:p w:rsidR="00E67E6B" w:rsidRPr="00F36B63" w:rsidRDefault="00E67E6B" w:rsidP="00E67E6B">
      <w:pPr>
        <w:pStyle w:val="TemplateHeadline"/>
        <w:rPr>
          <w:rFonts w:asciiTheme="minorHAnsi" w:hAnsiTheme="minorHAnsi" w:cstheme="minorHAnsi"/>
          <w:color w:val="000000"/>
          <w:sz w:val="22"/>
          <w:szCs w:val="22"/>
        </w:rPr>
      </w:pPr>
      <w:r w:rsidRPr="00F36B63">
        <w:rPr>
          <w:rFonts w:asciiTheme="minorHAnsi" w:hAnsiTheme="minorHAnsi" w:cstheme="minorHAnsi"/>
          <w:color w:val="000000"/>
          <w:sz w:val="22"/>
          <w:szCs w:val="22"/>
          <w:lang w:val="nl-NL"/>
        </w:rPr>
        <w:t xml:space="preserve">Beheersmaatregelen zijn ontworpen om risico's op de entiteit-, activiteiten- en transactieniveaus te beperken. Een bekwame evaluatie van de effectiviteit van beheersingsmaatregelen houdt in dat de beheersingsmaatregelen worden beoordeeld in de context van risico's voor doelstellingen op elk van deze niveaus. Een risico- en </w:t>
      </w:r>
      <w:proofErr w:type="spellStart"/>
      <w:r w:rsidRPr="00F36B63">
        <w:rPr>
          <w:rFonts w:asciiTheme="minorHAnsi" w:hAnsiTheme="minorHAnsi" w:cstheme="minorHAnsi"/>
          <w:color w:val="000000"/>
          <w:sz w:val="22"/>
          <w:szCs w:val="22"/>
          <w:lang w:val="nl-NL"/>
        </w:rPr>
        <w:t>beheersmatrix</w:t>
      </w:r>
      <w:proofErr w:type="spellEnd"/>
      <w:r w:rsidRPr="00F36B63">
        <w:rPr>
          <w:rFonts w:asciiTheme="minorHAnsi" w:hAnsiTheme="minorHAnsi" w:cstheme="minorHAnsi"/>
          <w:color w:val="000000"/>
          <w:sz w:val="22"/>
          <w:szCs w:val="22"/>
          <w:lang w:val="nl-NL"/>
        </w:rPr>
        <w:t xml:space="preserve"> kan de internal auditor helpen om dergelijke beoordelingen te vergemakkelijken. Een dergelijke matrix kan de internal auditfunctie ondersteunen bij:</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 xml:space="preserve">Het identificeren van de doelstellingen en de risico's bij het bereiken ervan. </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Het bepalen van de significantie van risico's, rekening houdend met de impact en de waarschijnlijkheid.</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 xml:space="preserve">Het vaststellen van de juiste reactie op belangrijke risico's (bijvoorbeeld accepteren, nastreven, overdragen, beperken of vermijden). </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Het vaststellen van de belangrijkste beheersmaatregelen die het management gebruikt om risico's te beheren.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Het evalueren van de geschiktheid van het ontwerp van beheersingsmaatregelen om te helpen bepalen of het nodig kan zijn om beheersingsmaatregelen te toetsen op effectiviteit.</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Het toetsen van beheersingsmaatregelen die werden geacht adequaat te zijn ontworpen om vast te stellen of ze functioneren zoals bedoeld.</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Bij het gebruik van een risico- en beheermatrix kan de internal auditfunctie het nuttig vinden het management te interviewen; organisatorische plannen, beleid en processen beoordelen; walk-</w:t>
      </w:r>
      <w:proofErr w:type="spellStart"/>
      <w:r w:rsidRPr="00F36B63">
        <w:rPr>
          <w:rFonts w:asciiTheme="minorHAnsi" w:hAnsiTheme="minorHAnsi" w:cstheme="minorHAnsi"/>
          <w:color w:val="000000"/>
          <w:sz w:val="22"/>
          <w:szCs w:val="22"/>
          <w:lang w:val="nl-NL"/>
        </w:rPr>
        <w:t>throughs</w:t>
      </w:r>
      <w:proofErr w:type="spellEnd"/>
      <w:r w:rsidRPr="00F36B63">
        <w:rPr>
          <w:rFonts w:asciiTheme="minorHAnsi" w:hAnsiTheme="minorHAnsi" w:cstheme="minorHAnsi"/>
          <w:color w:val="000000"/>
          <w:sz w:val="22"/>
          <w:szCs w:val="22"/>
          <w:lang w:val="nl-NL"/>
        </w:rPr>
        <w:t xml:space="preserve">, enquêtes, vragenlijsten voor internal evaluaties en stroomdiagrammen gebruiken om informatie te verkrijgen over de </w:t>
      </w:r>
      <w:proofErr w:type="spellStart"/>
      <w:r w:rsidRPr="00F36B63">
        <w:rPr>
          <w:rFonts w:asciiTheme="minorHAnsi" w:hAnsiTheme="minorHAnsi" w:cstheme="minorHAnsi"/>
          <w:color w:val="000000"/>
          <w:sz w:val="22"/>
          <w:szCs w:val="22"/>
          <w:lang w:val="nl-NL"/>
        </w:rPr>
        <w:t>toereikendheid</w:t>
      </w:r>
      <w:proofErr w:type="spellEnd"/>
      <w:r w:rsidRPr="00F36B63">
        <w:rPr>
          <w:rFonts w:asciiTheme="minorHAnsi" w:hAnsiTheme="minorHAnsi" w:cstheme="minorHAnsi"/>
          <w:color w:val="000000"/>
          <w:sz w:val="22"/>
          <w:szCs w:val="22"/>
          <w:lang w:val="nl-NL"/>
        </w:rPr>
        <w:t xml:space="preserve"> van het ontwerp van de beheersing; en inspecties, bevestigingen, voortdurende auditing en gegevensanalyses gebruiken om de effectiviteit van de beheersing te toetsen.</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Voor het evalueren van de efficiëntie van beheersmaatregelen bepaalt de internal auditfunctie doorgaans of het management de kosten en voordelen van beheersingsmaatregelen meet en bewaakt. Dit zou onder meer inhouden dat wordt vastgesteld of de middelen die in de beheersprocessen worden </w:t>
      </w:r>
      <w:r w:rsidRPr="00F36B63">
        <w:rPr>
          <w:rFonts w:asciiTheme="minorHAnsi" w:hAnsiTheme="minorHAnsi" w:cstheme="minorHAnsi"/>
          <w:color w:val="000000"/>
          <w:sz w:val="22"/>
          <w:szCs w:val="22"/>
          <w:lang w:val="nl-NL"/>
        </w:rPr>
        <w:lastRenderedPageBreak/>
        <w:t xml:space="preserve">gebruikt de voordelen overschrijden en of beheersprocessen belangrijke zakelijke problemen creëren (bv., fouten, vertragingen of dubbel werk). </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Het kan ook nuttig zijn voor internal auditors om te beoordelen of het niveau van een beheersingsmaatregel geschikt is voor het risico waar deze op gericht is. Een instrument dat veel internal auditors gebruiken om de relatie visueel te documenteren is een risico- en </w:t>
      </w:r>
      <w:proofErr w:type="spellStart"/>
      <w:r w:rsidRPr="00F36B63">
        <w:rPr>
          <w:rFonts w:asciiTheme="minorHAnsi" w:hAnsiTheme="minorHAnsi" w:cstheme="minorHAnsi"/>
          <w:color w:val="000000"/>
          <w:sz w:val="22"/>
          <w:szCs w:val="22"/>
          <w:lang w:val="nl-NL"/>
        </w:rPr>
        <w:t>beheerskaart</w:t>
      </w:r>
      <w:proofErr w:type="spellEnd"/>
      <w:r w:rsidRPr="00F36B63">
        <w:rPr>
          <w:rFonts w:asciiTheme="minorHAnsi" w:hAnsiTheme="minorHAnsi" w:cstheme="minorHAnsi"/>
          <w:color w:val="000000"/>
          <w:sz w:val="22"/>
          <w:szCs w:val="22"/>
          <w:lang w:val="nl-NL"/>
        </w:rPr>
        <w:t>, die de significantie van het risico afzet tegen de effectiviteit van de beheersing.</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Om voortdurende verbetering bij het handhaven van effectieve beheersingsmaatregelen te bevorderen, biedt de internal auditfunctie het bestuur en het senior management doorgaans een algemene beoordeling of compileert zij de resultaten van evaluaties van beheersingsmaatregelen die zijn verzameld uit individuele auditwerkzaamheden. De CAE kan de implementatie van een </w:t>
      </w:r>
      <w:proofErr w:type="spellStart"/>
      <w:r w:rsidRPr="00F36B63">
        <w:rPr>
          <w:rFonts w:asciiTheme="minorHAnsi" w:hAnsiTheme="minorHAnsi" w:cstheme="minorHAnsi"/>
          <w:color w:val="000000"/>
          <w:sz w:val="22"/>
          <w:szCs w:val="22"/>
          <w:lang w:val="nl-NL"/>
        </w:rPr>
        <w:t>beheersraamwerk</w:t>
      </w:r>
      <w:proofErr w:type="spellEnd"/>
      <w:r w:rsidRPr="00F36B63">
        <w:rPr>
          <w:rFonts w:asciiTheme="minorHAnsi" w:hAnsiTheme="minorHAnsi" w:cstheme="minorHAnsi"/>
          <w:color w:val="000000"/>
          <w:sz w:val="22"/>
          <w:szCs w:val="22"/>
          <w:lang w:val="nl-NL"/>
        </w:rPr>
        <w:t xml:space="preserve"> aanbevelen als een dergelijk raamwerk er nog niet is. Daarnaast kunnen internal auditors aanbevelingen doen die de </w:t>
      </w:r>
      <w:proofErr w:type="spellStart"/>
      <w:r w:rsidRPr="00F36B63">
        <w:rPr>
          <w:rFonts w:asciiTheme="minorHAnsi" w:hAnsiTheme="minorHAnsi" w:cstheme="minorHAnsi"/>
          <w:color w:val="000000"/>
          <w:sz w:val="22"/>
          <w:szCs w:val="22"/>
          <w:lang w:val="nl-NL"/>
        </w:rPr>
        <w:t>beheersomgeving</w:t>
      </w:r>
      <w:proofErr w:type="spellEnd"/>
      <w:r w:rsidRPr="00F36B63">
        <w:rPr>
          <w:rFonts w:asciiTheme="minorHAnsi" w:hAnsiTheme="minorHAnsi" w:cstheme="minorHAnsi"/>
          <w:color w:val="000000"/>
          <w:sz w:val="22"/>
          <w:szCs w:val="22"/>
          <w:lang w:val="nl-NL"/>
        </w:rPr>
        <w:t xml:space="preserve"> verbeteren (bv., een toonzetting aan de top die een cultuur van ethisch gedrag en een geringe tolerantie voor niet-naleving bevordert).</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Aanvullende stappen die de internal auditfunctie kan ondernemen om voortdurende verbetering van de </w:t>
      </w:r>
      <w:proofErr w:type="spellStart"/>
      <w:r w:rsidRPr="00F36B63">
        <w:rPr>
          <w:rFonts w:asciiTheme="minorHAnsi" w:hAnsiTheme="minorHAnsi" w:cstheme="minorHAnsi"/>
          <w:color w:val="000000"/>
          <w:sz w:val="22"/>
          <w:szCs w:val="22"/>
          <w:lang w:val="nl-NL"/>
        </w:rPr>
        <w:t>beheerseffectiviteit</w:t>
      </w:r>
      <w:proofErr w:type="spellEnd"/>
      <w:r w:rsidRPr="00F36B63">
        <w:rPr>
          <w:rFonts w:asciiTheme="minorHAnsi" w:hAnsiTheme="minorHAnsi" w:cstheme="minorHAnsi"/>
          <w:color w:val="000000"/>
          <w:sz w:val="22"/>
          <w:szCs w:val="22"/>
          <w:lang w:val="nl-NL"/>
        </w:rPr>
        <w:t xml:space="preserve"> te bevorderen zijn: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Training geven in beheersingsmaatregelen en continue zelfbewakingsprocessen.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Sessies voor de evaluaties van beheersing (of risico en beheersing) voor het management faciliteren.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Het management helpen om een logische structuur vast te stellen voor het documenteren, analyseren en beoordelen van het ontwerp en uitvoering van de beheersingsmaatregelen van de organisatie.</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Assisteren bij de ontwikkeling van een proces voor het identificeren, evalueren en remediëren van gebreken in beheersingsmaatregelen.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Het management helpen om op de hoogte te blijven van nieuwe vraagstukken en wet- en regelgeving met betrekking tot vereisten aan beheersingsmaatregelen.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Monitoring van technologische ontwikkelingen die de efficiëntie en effectiviteit van de beheersing kunnen bevorderen.</w:t>
      </w:r>
    </w:p>
    <w:p w:rsidR="002F57B5" w:rsidRPr="00F36B63" w:rsidRDefault="002F57B5" w:rsidP="002F57B5">
      <w:pPr>
        <w:pStyle w:val="TemplateHeadline"/>
        <w:rPr>
          <w:rFonts w:asciiTheme="minorHAnsi" w:hAnsiTheme="minorHAnsi" w:cstheme="minorHAnsi"/>
          <w:color w:val="000000"/>
          <w:sz w:val="22"/>
          <w:szCs w:val="22"/>
        </w:rPr>
      </w:pPr>
    </w:p>
    <w:p w:rsidR="00FE4706" w:rsidRPr="00F36B63" w:rsidRDefault="00685768" w:rsidP="002F57B5">
      <w:pPr>
        <w:pStyle w:val="TemplateHeadline"/>
        <w:rPr>
          <w:rFonts w:asciiTheme="minorHAnsi" w:hAnsiTheme="minorHAnsi" w:cstheme="minorHAnsi"/>
          <w:lang w:val="nl-NL"/>
        </w:rPr>
      </w:pPr>
      <w:r w:rsidRPr="00F36B63">
        <w:rPr>
          <w:rFonts w:asciiTheme="minorHAnsi" w:hAnsiTheme="minorHAnsi" w:cstheme="minorHAnsi"/>
          <w:lang w:val="nl-NL"/>
        </w:rPr>
        <w:t>Overwegingen b</w:t>
      </w:r>
      <w:r w:rsidR="002F57B5" w:rsidRPr="00F36B63">
        <w:rPr>
          <w:rFonts w:asciiTheme="minorHAnsi" w:hAnsiTheme="minorHAnsi" w:cstheme="minorHAnsi"/>
          <w:lang w:val="nl-NL"/>
        </w:rPr>
        <w:t>ij het aantonen van de naleving</w:t>
      </w:r>
    </w:p>
    <w:p w:rsidR="00E67E6B" w:rsidRPr="00F36B63" w:rsidRDefault="00E67E6B" w:rsidP="00E67E6B">
      <w:pPr>
        <w:pStyle w:val="TemplateHeadline"/>
        <w:rPr>
          <w:rFonts w:asciiTheme="minorHAnsi" w:hAnsiTheme="minorHAnsi" w:cstheme="minorHAnsi"/>
          <w:color w:val="000000"/>
          <w:sz w:val="22"/>
          <w:szCs w:val="22"/>
          <w:lang w:val="nl-NL"/>
        </w:rPr>
      </w:pPr>
      <w:r w:rsidRPr="00F36B63">
        <w:rPr>
          <w:rFonts w:asciiTheme="minorHAnsi" w:hAnsiTheme="minorHAnsi" w:cstheme="minorHAnsi"/>
          <w:color w:val="000000"/>
          <w:sz w:val="22"/>
          <w:szCs w:val="22"/>
          <w:lang w:val="nl-NL"/>
        </w:rPr>
        <w:t xml:space="preserve">Documenten die naleving van Standaard 2130 kunnen aantonen zijn onder ander de beoordeling en </w:t>
      </w:r>
      <w:r w:rsidRPr="00F36B63">
        <w:rPr>
          <w:rFonts w:asciiTheme="minorHAnsi" w:hAnsiTheme="minorHAnsi" w:cstheme="minorHAnsi"/>
          <w:color w:val="000000"/>
          <w:sz w:val="22"/>
          <w:szCs w:val="22"/>
          <w:lang w:val="nl-NL"/>
        </w:rPr>
        <w:lastRenderedPageBreak/>
        <w:t>toetsing van de beheersmaatregelen door de internal auditfunctie. Deze documentatie bestaat doorgaans uit werkdocumenten van auditors en kan het volgende omvatten: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Notulen van vergaderingen met relevante stakeholders waarbij beheersingsmaatregelen zijn besproken.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 xml:space="preserve">Risico- en </w:t>
      </w:r>
      <w:proofErr w:type="spellStart"/>
      <w:r w:rsidRPr="00F36B63">
        <w:rPr>
          <w:rFonts w:asciiTheme="minorHAnsi" w:hAnsiTheme="minorHAnsi" w:cstheme="minorHAnsi"/>
          <w:sz w:val="22"/>
          <w:szCs w:val="22"/>
          <w:lang w:val="nl-NL"/>
        </w:rPr>
        <w:t>beheersmatrices</w:t>
      </w:r>
      <w:proofErr w:type="spellEnd"/>
      <w:r w:rsidRPr="00F36B63">
        <w:rPr>
          <w:rFonts w:asciiTheme="minorHAnsi" w:hAnsiTheme="minorHAnsi" w:cstheme="minorHAnsi"/>
          <w:sz w:val="22"/>
          <w:szCs w:val="22"/>
          <w:lang w:val="nl-NL"/>
        </w:rPr>
        <w:t xml:space="preserve"> en -kaarten.</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rPr>
      </w:pPr>
      <w:r w:rsidRPr="00F36B63">
        <w:rPr>
          <w:rFonts w:asciiTheme="minorHAnsi" w:hAnsiTheme="minorHAnsi" w:cstheme="minorHAnsi"/>
          <w:sz w:val="22"/>
          <w:szCs w:val="22"/>
          <w:lang w:val="nl-NL"/>
        </w:rPr>
        <w:t>Verslagen van walk-</w:t>
      </w:r>
      <w:proofErr w:type="spellStart"/>
      <w:r w:rsidRPr="00F36B63">
        <w:rPr>
          <w:rFonts w:asciiTheme="minorHAnsi" w:hAnsiTheme="minorHAnsi" w:cstheme="minorHAnsi"/>
          <w:sz w:val="22"/>
          <w:szCs w:val="22"/>
          <w:lang w:val="nl-NL"/>
        </w:rPr>
        <w:t>throughs</w:t>
      </w:r>
      <w:proofErr w:type="spellEnd"/>
      <w:r w:rsidRPr="00F36B63">
        <w:rPr>
          <w:rFonts w:asciiTheme="minorHAnsi" w:hAnsiTheme="minorHAnsi" w:cstheme="minorHAnsi"/>
          <w:sz w:val="22"/>
          <w:szCs w:val="22"/>
          <w:lang w:val="nl-NL"/>
        </w:rPr>
        <w:t>.</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Resultaten van enquêtes en interviews met het management.</w:t>
      </w:r>
    </w:p>
    <w:p w:rsidR="00E67E6B" w:rsidRPr="00F36B63" w:rsidRDefault="00E67E6B" w:rsidP="00E67E6B">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F36B63">
        <w:rPr>
          <w:rFonts w:asciiTheme="minorHAnsi" w:hAnsiTheme="minorHAnsi" w:cstheme="minorHAnsi"/>
          <w:sz w:val="22"/>
          <w:szCs w:val="22"/>
          <w:lang w:val="nl-NL"/>
        </w:rPr>
        <w:t xml:space="preserve">Resultaten van toetsingen van beheersingsmaatregelen. </w:t>
      </w:r>
    </w:p>
    <w:p w:rsidR="00E67E6B" w:rsidRPr="00F36B63" w:rsidRDefault="00E67E6B" w:rsidP="00E67E6B">
      <w:pPr>
        <w:pStyle w:val="TemplateBodyText"/>
        <w:rPr>
          <w:rFonts w:asciiTheme="minorHAnsi" w:hAnsiTheme="minorHAnsi" w:cstheme="minorHAnsi"/>
          <w:sz w:val="22"/>
          <w:szCs w:val="22"/>
          <w:lang w:val="nl-NL"/>
        </w:rPr>
      </w:pPr>
      <w:r w:rsidRPr="00F36B63">
        <w:rPr>
          <w:rFonts w:asciiTheme="minorHAnsi" w:hAnsiTheme="minorHAnsi" w:cstheme="minorHAnsi"/>
          <w:sz w:val="22"/>
          <w:szCs w:val="22"/>
          <w:lang w:val="nl-NL"/>
        </w:rPr>
        <w:t xml:space="preserve">Overeenstemming kan ook worden aangetoond door middel van plannen, verslagen van afzonderlijke opdrachten, opvolging van kwesties die te berde zijn gebracht in auditverslagen en/of een algemene evaluatie van beheersingsmaatregelen Als het management een goede set operationele en </w:t>
      </w:r>
      <w:proofErr w:type="spellStart"/>
      <w:r w:rsidRPr="00F36B63">
        <w:rPr>
          <w:rFonts w:asciiTheme="minorHAnsi" w:hAnsiTheme="minorHAnsi" w:cstheme="minorHAnsi"/>
          <w:sz w:val="22"/>
          <w:szCs w:val="22"/>
          <w:lang w:val="nl-NL"/>
        </w:rPr>
        <w:t>beheersprocedures</w:t>
      </w:r>
      <w:proofErr w:type="spellEnd"/>
      <w:r w:rsidRPr="00F36B63">
        <w:rPr>
          <w:rFonts w:asciiTheme="minorHAnsi" w:hAnsiTheme="minorHAnsi" w:cstheme="minorHAnsi"/>
          <w:sz w:val="22"/>
          <w:szCs w:val="22"/>
          <w:lang w:val="nl-NL"/>
        </w:rPr>
        <w:t xml:space="preserve"> handhaaft om verwachte beheersingsmaatregelen aan medewerkers te communiceren, kan dit ook naleving aantonen. Continue verbetering kan worden aangetoond door het voortdurend updaten van standaard operationele en </w:t>
      </w:r>
      <w:proofErr w:type="spellStart"/>
      <w:r w:rsidRPr="00F36B63">
        <w:rPr>
          <w:rFonts w:asciiTheme="minorHAnsi" w:hAnsiTheme="minorHAnsi" w:cstheme="minorHAnsi"/>
          <w:sz w:val="22"/>
          <w:szCs w:val="22"/>
          <w:lang w:val="nl-NL"/>
        </w:rPr>
        <w:t>beheersprocedures</w:t>
      </w:r>
      <w:proofErr w:type="spellEnd"/>
      <w:r w:rsidRPr="00F36B63">
        <w:rPr>
          <w:rFonts w:asciiTheme="minorHAnsi" w:hAnsiTheme="minorHAnsi" w:cstheme="minorHAnsi"/>
          <w:sz w:val="22"/>
          <w:szCs w:val="22"/>
          <w:lang w:val="nl-NL"/>
        </w:rPr>
        <w:t xml:space="preserve"> om de veranderende omgeving te reflecteren.</w:t>
      </w:r>
    </w:p>
    <w:p w:rsidR="00FE4706" w:rsidRPr="00F36B63" w:rsidRDefault="00FE4706" w:rsidP="002F57B5">
      <w:pPr>
        <w:pStyle w:val="TemplateHeadline"/>
        <w:rPr>
          <w:rFonts w:asciiTheme="minorHAnsi" w:hAnsiTheme="minorHAnsi" w:cstheme="minorHAnsi"/>
          <w:sz w:val="22"/>
          <w:szCs w:val="22"/>
          <w:lang w:val="nl-NL"/>
        </w:rPr>
      </w:pPr>
    </w:p>
    <w:p w:rsidR="002F57B5" w:rsidRPr="00F36B63" w:rsidRDefault="00685768" w:rsidP="002F57B5">
      <w:pPr>
        <w:pStyle w:val="TemplateHeadline"/>
        <w:rPr>
          <w:rFonts w:asciiTheme="minorHAnsi" w:hAnsiTheme="minorHAnsi" w:cstheme="minorHAnsi"/>
          <w:lang w:val="nl-NL"/>
        </w:rPr>
      </w:pPr>
      <w:r w:rsidRPr="00F36B63">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3876675</wp:posOffset>
                </wp:positionV>
                <wp:extent cx="6400800" cy="51244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2445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5.25pt;width:7in;height:403.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Ue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F36B63">
        <w:rPr>
          <w:rFonts w:asciiTheme="minorHAnsi" w:hAnsiTheme="minorHAnsi" w:cstheme="minorHAnsi"/>
          <w:color w:val="000000"/>
          <w:sz w:val="24"/>
          <w:szCs w:val="24"/>
          <w:lang w:val="nl-NL"/>
        </w:rPr>
        <w:t xml:space="preserve"> </w:t>
      </w:r>
      <w:bookmarkStart w:id="0" w:name="_GoBack"/>
      <w:bookmarkEnd w:id="0"/>
    </w:p>
    <w:sectPr w:rsidR="002F57B5" w:rsidRPr="00F36B63"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F36B63">
      <w:rPr>
        <w:rStyle w:val="Paginanummer"/>
        <w:noProof/>
        <w:color w:val="535953"/>
        <w:sz w:val="16"/>
        <w:szCs w:val="16"/>
      </w:rPr>
      <w:t>6</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F36B63">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E67E6B" w:rsidRPr="00E67E6B">
                            <w:rPr>
                              <w:rFonts w:ascii="Arial" w:hAnsi="Arial" w:cs="Arial"/>
                              <w:color w:val="0F1F4B"/>
                              <w:lang w:val="nl-NL"/>
                            </w:rPr>
                            <w:t xml:space="preserve">2130 </w:t>
                          </w:r>
                          <w:r w:rsidR="00F36B63">
                            <w:rPr>
                              <w:rFonts w:ascii="Arial" w:hAnsi="Arial" w:cs="Arial"/>
                              <w:color w:val="0F1F4B"/>
                              <w:lang w:val="nl-NL"/>
                            </w:rPr>
                            <w:t>-</w:t>
                          </w:r>
                          <w:r w:rsidR="00E67E6B" w:rsidRPr="00E67E6B">
                            <w:rPr>
                              <w:rFonts w:ascii="Arial" w:hAnsi="Arial" w:cs="Arial"/>
                              <w:color w:val="0F1F4B"/>
                              <w:lang w:val="nl-NL"/>
                            </w:rPr>
                            <w:t xml:space="preserve"> Beheersing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E67E6B" w:rsidRPr="00E67E6B">
                      <w:rPr>
                        <w:rFonts w:ascii="Arial" w:hAnsi="Arial" w:cs="Arial"/>
                        <w:color w:val="0F1F4B"/>
                        <w:lang w:val="nl-NL"/>
                      </w:rPr>
                      <w:t xml:space="preserve">2130 </w:t>
                    </w:r>
                    <w:r w:rsidR="00F36B63">
                      <w:rPr>
                        <w:rFonts w:ascii="Arial" w:hAnsi="Arial" w:cs="Arial"/>
                        <w:color w:val="0F1F4B"/>
                        <w:lang w:val="nl-NL"/>
                      </w:rPr>
                      <w:t>-</w:t>
                    </w:r>
                    <w:r w:rsidR="00E67E6B" w:rsidRPr="00E67E6B">
                      <w:rPr>
                        <w:rFonts w:ascii="Arial" w:hAnsi="Arial" w:cs="Arial"/>
                        <w:color w:val="0F1F4B"/>
                        <w:lang w:val="nl-NL"/>
                      </w:rPr>
                      <w:t xml:space="preserve"> Beheersing</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B590C"/>
    <w:rsid w:val="00284E07"/>
    <w:rsid w:val="002F57B5"/>
    <w:rsid w:val="005C501B"/>
    <w:rsid w:val="00685768"/>
    <w:rsid w:val="009C730B"/>
    <w:rsid w:val="00B9149D"/>
    <w:rsid w:val="00C6368B"/>
    <w:rsid w:val="00E269AE"/>
    <w:rsid w:val="00E67E6B"/>
    <w:rsid w:val="00F36B63"/>
    <w:rsid w:val="00FB3271"/>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E67E6B"/>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475033-4444-4A3C-A8C2-06062396557F}">
  <ds:schemaRefs>
    <ds:schemaRef ds:uri="http://schemas.openxmlformats.org/officeDocument/2006/bibliography"/>
  </ds:schemaRefs>
</ds:datastoreItem>
</file>

<file path=customXml/itemProps2.xml><?xml version="1.0" encoding="utf-8"?>
<ds:datastoreItem xmlns:ds="http://schemas.openxmlformats.org/officeDocument/2006/customXml" ds:itemID="{E9B6AE4B-B31C-4020-A05F-A2C1FC37FCD4}"/>
</file>

<file path=customXml/itemProps3.xml><?xml version="1.0" encoding="utf-8"?>
<ds:datastoreItem xmlns:ds="http://schemas.openxmlformats.org/officeDocument/2006/customXml" ds:itemID="{E84B9581-5730-4B38-B93F-F40ED58DCCFD}"/>
</file>

<file path=customXml/itemProps4.xml><?xml version="1.0" encoding="utf-8"?>
<ds:datastoreItem xmlns:ds="http://schemas.openxmlformats.org/officeDocument/2006/customXml" ds:itemID="{D7C2F475-0F00-4373-8E28-CE33C6864662}"/>
</file>

<file path=docProps/app.xml><?xml version="1.0" encoding="utf-8"?>
<Properties xmlns="http://schemas.openxmlformats.org/officeDocument/2006/extended-properties" xmlns:vt="http://schemas.openxmlformats.org/officeDocument/2006/docPropsVTypes">
  <Template>A34FD8A9</Template>
  <TotalTime>4</TotalTime>
  <Pages>6</Pages>
  <Words>1342</Words>
  <Characters>7381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5</cp:revision>
  <dcterms:created xsi:type="dcterms:W3CDTF">2017-08-21T09:11:00Z</dcterms:created>
  <dcterms:modified xsi:type="dcterms:W3CDTF">2017-08-21T13:45:00Z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