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BE" w:rsidRPr="008136AD" w:rsidRDefault="00A16AFB" w:rsidP="00CE540B">
      <w:pPr>
        <w:pStyle w:val="TemplateHeadline"/>
        <w:spacing w:before="100" w:beforeAutospacing="1" w:after="100" w:afterAutospacing="1"/>
        <w:rPr>
          <w:rFonts w:asciiTheme="minorHAnsi" w:hAnsiTheme="minorHAnsi" w:cstheme="minorHAnsi"/>
        </w:rPr>
      </w:pPr>
      <w:r w:rsidRPr="008136AD">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simplePos x="0" y="0"/>
                <wp:positionH relativeFrom="margin">
                  <wp:align>right</wp:align>
                </wp:positionH>
                <wp:positionV relativeFrom="page">
                  <wp:posOffset>2647950</wp:posOffset>
                </wp:positionV>
                <wp:extent cx="6400800" cy="49149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49149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A2DCB" w:rsidRPr="00FC4D94" w:rsidRDefault="00A16AFB" w:rsidP="00566181">
                            <w:pPr>
                              <w:pStyle w:val="TemplateHeadline"/>
                              <w:spacing w:line="380" w:lineRule="atLeast"/>
                            </w:pPr>
                            <w:r w:rsidRPr="00FC4D94">
                              <w:rPr>
                                <w:lang w:val="nl-NL"/>
                              </w:rPr>
                              <w:t>Standaard 1210 - Vakbekwaamheid</w:t>
                            </w:r>
                          </w:p>
                          <w:p w:rsidR="00FA2DCB" w:rsidRDefault="00A16AFB" w:rsidP="00566181">
                            <w:pPr>
                              <w:pStyle w:val="TemplateBodyText"/>
                              <w:spacing w:line="380" w:lineRule="atLeast"/>
                              <w:rPr>
                                <w:rFonts w:asciiTheme="minorHAnsi" w:hAnsiTheme="minorHAnsi" w:cstheme="minorHAnsi"/>
                                <w:sz w:val="22"/>
                                <w:szCs w:val="22"/>
                                <w:lang w:val="nl-NL"/>
                              </w:rPr>
                            </w:pPr>
                            <w:r w:rsidRPr="00962C9E">
                              <w:rPr>
                                <w:rFonts w:asciiTheme="minorHAnsi" w:hAnsiTheme="minorHAnsi" w:cstheme="minorHAnsi"/>
                                <w:sz w:val="22"/>
                                <w:szCs w:val="22"/>
                                <w:lang w:val="nl-NL"/>
                              </w:rPr>
                              <w:t>Internal auditors moeten beschikken over de kennis, vaardigheden en overige competenties, die benodigd zijn om voor de uitvoering van hun individuele verantwoordelijkheid. De internal auditfunctie als geheel moet kennis, vaardigheden en overige competenties, die benodigd zijn om haar verantwoordelijkheden te nemen, bezitten of verkrijgen.</w:t>
                            </w:r>
                          </w:p>
                          <w:p w:rsidR="00962C9E" w:rsidRPr="00962C9E" w:rsidRDefault="00962C9E" w:rsidP="00962C9E">
                            <w:pPr>
                              <w:pStyle w:val="Geenafstand"/>
                            </w:pPr>
                          </w:p>
                          <w:p w:rsidR="00FA2DCB" w:rsidRDefault="00A16AFB" w:rsidP="00962C9E">
                            <w:pPr>
                              <w:rPr>
                                <w:rFonts w:cstheme="minorHAnsi"/>
                                <w:sz w:val="22"/>
                                <w:szCs w:val="22"/>
                              </w:rPr>
                            </w:pPr>
                            <w:proofErr w:type="spellStart"/>
                            <w:r w:rsidRPr="004F3B57">
                              <w:rPr>
                                <w:rFonts w:cstheme="minorHAnsi"/>
                                <w:b/>
                                <w:color w:val="000000"/>
                                <w:sz w:val="22"/>
                                <w:szCs w:val="22"/>
                              </w:rPr>
                              <w:t>Interpretatie</w:t>
                            </w:r>
                            <w:proofErr w:type="spellEnd"/>
                            <w:r w:rsidRPr="00962C9E">
                              <w:rPr>
                                <w:rFonts w:cstheme="minorHAnsi"/>
                                <w:sz w:val="22"/>
                                <w:szCs w:val="22"/>
                              </w:rPr>
                              <w:t>:</w:t>
                            </w:r>
                          </w:p>
                          <w:p w:rsidR="004F3B57" w:rsidRPr="00962C9E" w:rsidRDefault="004F3B57" w:rsidP="00962C9E">
                            <w:pPr>
                              <w:rPr>
                                <w:rFonts w:cstheme="minorHAnsi"/>
                                <w:sz w:val="22"/>
                                <w:szCs w:val="22"/>
                              </w:rPr>
                            </w:pPr>
                            <w:bookmarkStart w:id="0" w:name="_GoBack"/>
                            <w:bookmarkEnd w:id="0"/>
                          </w:p>
                          <w:p w:rsidR="00FA2DCB" w:rsidRPr="00962C9E" w:rsidRDefault="00A16AFB" w:rsidP="00566181">
                            <w:pPr>
                              <w:pStyle w:val="TemplateBodyText"/>
                              <w:spacing w:line="380" w:lineRule="atLeast"/>
                              <w:rPr>
                                <w:rFonts w:asciiTheme="minorHAnsi" w:hAnsiTheme="minorHAnsi" w:cstheme="minorHAnsi"/>
                                <w:i/>
                                <w:sz w:val="22"/>
                                <w:szCs w:val="22"/>
                              </w:rPr>
                            </w:pPr>
                            <w:r w:rsidRPr="00962C9E">
                              <w:rPr>
                                <w:rFonts w:asciiTheme="minorHAnsi" w:hAnsiTheme="minorHAnsi" w:cstheme="minorHAnsi"/>
                                <w:i/>
                                <w:iCs/>
                                <w:sz w:val="22"/>
                                <w:szCs w:val="22"/>
                                <w:lang w:val="nl-NL"/>
                              </w:rPr>
                              <w:t xml:space="preserve">Vakbekwaamheid is een overkoepelende term die verwijst naar de kennis, vaardigheden en overige competenties waarover internal auditors moeten beschikken om hun professionele verplichtingen doeltreffend uit te voeren. Het omvat aandacht voor lopende activiteiten, trends en nieuwe kwesties, om relevant advies en relevante aanbevelingen mogelijk te maken. Internal auditors worden aangemoedigd om hun vakbekwaamheid aan te tonen door het behalen van vakinhoudelijke certificaten en kwalificaties zoals de titel van </w:t>
                            </w:r>
                            <w:proofErr w:type="spellStart"/>
                            <w:r w:rsidRPr="00962C9E">
                              <w:rPr>
                                <w:rFonts w:asciiTheme="minorHAnsi" w:hAnsiTheme="minorHAnsi" w:cstheme="minorHAnsi"/>
                                <w:i/>
                                <w:iCs/>
                                <w:sz w:val="22"/>
                                <w:szCs w:val="22"/>
                                <w:lang w:val="nl-NL"/>
                              </w:rPr>
                              <w:t>Certified</w:t>
                            </w:r>
                            <w:proofErr w:type="spellEnd"/>
                            <w:r w:rsidRPr="00962C9E">
                              <w:rPr>
                                <w:rFonts w:asciiTheme="minorHAnsi" w:hAnsiTheme="minorHAnsi" w:cstheme="minorHAnsi"/>
                                <w:i/>
                                <w:iCs/>
                                <w:sz w:val="22"/>
                                <w:szCs w:val="22"/>
                                <w:lang w:val="nl-NL"/>
                              </w:rPr>
                              <w:t xml:space="preserve"> Internal Auditor en andere titels die aangeboden worden door het </w:t>
                            </w:r>
                            <w:proofErr w:type="spellStart"/>
                            <w:r w:rsidRPr="00962C9E">
                              <w:rPr>
                                <w:rFonts w:asciiTheme="minorHAnsi" w:hAnsiTheme="minorHAnsi" w:cstheme="minorHAnsi"/>
                                <w:i/>
                                <w:iCs/>
                                <w:sz w:val="22"/>
                                <w:szCs w:val="22"/>
                                <w:lang w:val="nl-NL"/>
                              </w:rPr>
                              <w:t>Institute</w:t>
                            </w:r>
                            <w:proofErr w:type="spellEnd"/>
                            <w:r w:rsidRPr="00962C9E">
                              <w:rPr>
                                <w:rFonts w:asciiTheme="minorHAnsi" w:hAnsiTheme="minorHAnsi" w:cstheme="minorHAnsi"/>
                                <w:i/>
                                <w:iCs/>
                                <w:sz w:val="22"/>
                                <w:szCs w:val="22"/>
                                <w:lang w:val="nl-NL"/>
                              </w:rPr>
                              <w:t xml:space="preserve"> of Internal Auditors en andere relevante beroepsverenigingen.</w:t>
                            </w:r>
                          </w:p>
                          <w:p w:rsidR="00BD741D" w:rsidRPr="00962C9E" w:rsidRDefault="00A16AFB" w:rsidP="00566181">
                            <w:pPr>
                              <w:pStyle w:val="TemplateBodyText"/>
                              <w:spacing w:line="380" w:lineRule="atLeast"/>
                              <w:jc w:val="right"/>
                              <w:rPr>
                                <w:rFonts w:asciiTheme="minorHAnsi" w:hAnsiTheme="minorHAnsi" w:cstheme="minorHAnsi"/>
                                <w:i/>
                                <w:sz w:val="22"/>
                                <w:szCs w:val="22"/>
                              </w:rPr>
                            </w:pPr>
                            <w:proofErr w:type="spellStart"/>
                            <w:r w:rsidRPr="00962C9E">
                              <w:rPr>
                                <w:rFonts w:asciiTheme="minorHAnsi" w:hAnsiTheme="minorHAnsi" w:cstheme="minorHAnsi"/>
                                <w:sz w:val="22"/>
                                <w:szCs w:val="22"/>
                                <w:lang w:val="nl-NL"/>
                              </w:rPr>
                              <w:t>Herziene</w:t>
                            </w:r>
                            <w:proofErr w:type="spellEnd"/>
                            <w:r w:rsidRPr="00962C9E">
                              <w:rPr>
                                <w:rFonts w:asciiTheme="minorHAnsi" w:hAnsiTheme="minorHAnsi" w:cstheme="minorHAnsi"/>
                                <w:sz w:val="22"/>
                                <w:szCs w:val="22"/>
                                <w:lang w:val="nl-NL"/>
                              </w:rPr>
                              <w:t xml:space="preserve"> </w:t>
                            </w:r>
                            <w:r w:rsidRPr="008136AD">
                              <w:rPr>
                                <w:rFonts w:asciiTheme="minorHAnsi" w:hAnsiTheme="minorHAnsi" w:cstheme="minorHAnsi"/>
                                <w:i/>
                                <w:sz w:val="22"/>
                                <w:szCs w:val="22"/>
                                <w:lang w:val="nl-NL"/>
                              </w:rPr>
                              <w:t>Standaarden</w:t>
                            </w:r>
                            <w:r w:rsidRPr="00962C9E">
                              <w:rPr>
                                <w:rFonts w:asciiTheme="minorHAnsi" w:hAnsiTheme="minorHAnsi" w:cstheme="min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2.8pt;margin-top:208.5pt;width:7in;height:387pt;z-index:251658240;visibility:visible;mso-wrap-style:square;mso-height-percent:0;mso-wrap-distance-left:9pt;mso-wrap-distance-top:165.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" fillcolor="#d8d8d8 [2732]" stroked="f">
                <v:textbox inset="14.4pt,23.76pt,14.4pt,23.76pt">
                  <w:txbxContent>
                    <w:p w:rsidR="00FA2DCB" w:rsidRPr="00FC4D94" w:rsidRDefault="00A16AFB" w:rsidP="00566181">
                      <w:pPr>
                        <w:pStyle w:val="TemplateHeadline"/>
                        <w:spacing w:line="380" w:lineRule="atLeast"/>
                      </w:pPr>
                      <w:r w:rsidRPr="00FC4D94">
                        <w:rPr>
                          <w:lang w:val="nl-NL"/>
                        </w:rPr>
                        <w:t>Standaard 1210 - Vakbekwaamheid</w:t>
                      </w:r>
                    </w:p>
                    <w:p w:rsidR="00FA2DCB" w:rsidRDefault="00A16AFB" w:rsidP="00566181">
                      <w:pPr>
                        <w:pStyle w:val="TemplateBodyText"/>
                        <w:spacing w:line="380" w:lineRule="atLeast"/>
                        <w:rPr>
                          <w:rFonts w:asciiTheme="minorHAnsi" w:hAnsiTheme="minorHAnsi" w:cstheme="minorHAnsi"/>
                          <w:sz w:val="22"/>
                          <w:szCs w:val="22"/>
                          <w:lang w:val="nl-NL"/>
                        </w:rPr>
                      </w:pPr>
                      <w:r w:rsidRPr="00962C9E">
                        <w:rPr>
                          <w:rFonts w:asciiTheme="minorHAnsi" w:hAnsiTheme="minorHAnsi" w:cstheme="minorHAnsi"/>
                          <w:sz w:val="22"/>
                          <w:szCs w:val="22"/>
                          <w:lang w:val="nl-NL"/>
                        </w:rPr>
                        <w:t>Internal auditors moeten beschikken over de kennis, vaardigheden en overige competenties, die benodigd zijn om voor de uitvoering van hun individuele verantwoordelijkheid. De internal auditfunctie als geheel moet kennis, vaardigheden en overige competenties, die benodigd zijn om haar verantwoordelijkheden te nemen, bezitten of verkrijgen.</w:t>
                      </w:r>
                    </w:p>
                    <w:p w:rsidR="00962C9E" w:rsidRPr="00962C9E" w:rsidRDefault="00962C9E" w:rsidP="00962C9E">
                      <w:pPr>
                        <w:pStyle w:val="Geenafstand"/>
                      </w:pPr>
                    </w:p>
                    <w:p w:rsidR="00FA2DCB" w:rsidRDefault="00A16AFB" w:rsidP="00962C9E">
                      <w:pPr>
                        <w:rPr>
                          <w:rFonts w:cstheme="minorHAnsi"/>
                          <w:sz w:val="22"/>
                          <w:szCs w:val="22"/>
                        </w:rPr>
                      </w:pPr>
                      <w:proofErr w:type="spellStart"/>
                      <w:r w:rsidRPr="004F3B57">
                        <w:rPr>
                          <w:rFonts w:cstheme="minorHAnsi"/>
                          <w:b/>
                          <w:color w:val="000000"/>
                          <w:sz w:val="22"/>
                          <w:szCs w:val="22"/>
                        </w:rPr>
                        <w:t>Interpretatie</w:t>
                      </w:r>
                      <w:proofErr w:type="spellEnd"/>
                      <w:r w:rsidRPr="00962C9E">
                        <w:rPr>
                          <w:rFonts w:cstheme="minorHAnsi"/>
                          <w:sz w:val="22"/>
                          <w:szCs w:val="22"/>
                        </w:rPr>
                        <w:t>:</w:t>
                      </w:r>
                    </w:p>
                    <w:p w:rsidR="004F3B57" w:rsidRPr="00962C9E" w:rsidRDefault="004F3B57" w:rsidP="00962C9E">
                      <w:pPr>
                        <w:rPr>
                          <w:rFonts w:cstheme="minorHAnsi"/>
                          <w:sz w:val="22"/>
                          <w:szCs w:val="22"/>
                        </w:rPr>
                      </w:pPr>
                      <w:bookmarkStart w:id="1" w:name="_GoBack"/>
                      <w:bookmarkEnd w:id="1"/>
                    </w:p>
                    <w:p w:rsidR="00FA2DCB" w:rsidRPr="00962C9E" w:rsidRDefault="00A16AFB" w:rsidP="00566181">
                      <w:pPr>
                        <w:pStyle w:val="TemplateBodyText"/>
                        <w:spacing w:line="380" w:lineRule="atLeast"/>
                        <w:rPr>
                          <w:rFonts w:asciiTheme="minorHAnsi" w:hAnsiTheme="minorHAnsi" w:cstheme="minorHAnsi"/>
                          <w:i/>
                          <w:sz w:val="22"/>
                          <w:szCs w:val="22"/>
                        </w:rPr>
                      </w:pPr>
                      <w:r w:rsidRPr="00962C9E">
                        <w:rPr>
                          <w:rFonts w:asciiTheme="minorHAnsi" w:hAnsiTheme="minorHAnsi" w:cstheme="minorHAnsi"/>
                          <w:i/>
                          <w:iCs/>
                          <w:sz w:val="22"/>
                          <w:szCs w:val="22"/>
                          <w:lang w:val="nl-NL"/>
                        </w:rPr>
                        <w:t xml:space="preserve">Vakbekwaamheid is een overkoepelende term die verwijst naar de kennis, vaardigheden en overige competenties waarover internal auditors moeten beschikken om hun professionele verplichtingen doeltreffend uit te voeren. Het omvat aandacht voor lopende activiteiten, trends en nieuwe kwesties, om relevant advies en relevante aanbevelingen mogelijk te maken. Internal auditors worden aangemoedigd om hun vakbekwaamheid aan te tonen door het behalen van vakinhoudelijke certificaten en kwalificaties zoals de titel van </w:t>
                      </w:r>
                      <w:proofErr w:type="spellStart"/>
                      <w:r w:rsidRPr="00962C9E">
                        <w:rPr>
                          <w:rFonts w:asciiTheme="minorHAnsi" w:hAnsiTheme="minorHAnsi" w:cstheme="minorHAnsi"/>
                          <w:i/>
                          <w:iCs/>
                          <w:sz w:val="22"/>
                          <w:szCs w:val="22"/>
                          <w:lang w:val="nl-NL"/>
                        </w:rPr>
                        <w:t>Certified</w:t>
                      </w:r>
                      <w:proofErr w:type="spellEnd"/>
                      <w:r w:rsidRPr="00962C9E">
                        <w:rPr>
                          <w:rFonts w:asciiTheme="minorHAnsi" w:hAnsiTheme="minorHAnsi" w:cstheme="minorHAnsi"/>
                          <w:i/>
                          <w:iCs/>
                          <w:sz w:val="22"/>
                          <w:szCs w:val="22"/>
                          <w:lang w:val="nl-NL"/>
                        </w:rPr>
                        <w:t xml:space="preserve"> Internal Auditor en andere titels die aangeboden worden door het </w:t>
                      </w:r>
                      <w:proofErr w:type="spellStart"/>
                      <w:r w:rsidRPr="00962C9E">
                        <w:rPr>
                          <w:rFonts w:asciiTheme="minorHAnsi" w:hAnsiTheme="minorHAnsi" w:cstheme="minorHAnsi"/>
                          <w:i/>
                          <w:iCs/>
                          <w:sz w:val="22"/>
                          <w:szCs w:val="22"/>
                          <w:lang w:val="nl-NL"/>
                        </w:rPr>
                        <w:t>Institute</w:t>
                      </w:r>
                      <w:proofErr w:type="spellEnd"/>
                      <w:r w:rsidRPr="00962C9E">
                        <w:rPr>
                          <w:rFonts w:asciiTheme="minorHAnsi" w:hAnsiTheme="minorHAnsi" w:cstheme="minorHAnsi"/>
                          <w:i/>
                          <w:iCs/>
                          <w:sz w:val="22"/>
                          <w:szCs w:val="22"/>
                          <w:lang w:val="nl-NL"/>
                        </w:rPr>
                        <w:t xml:space="preserve"> of Internal Auditors en andere relevante beroepsverenigingen.</w:t>
                      </w:r>
                    </w:p>
                    <w:p w:rsidR="00BD741D" w:rsidRPr="00962C9E" w:rsidRDefault="00A16AFB" w:rsidP="00566181">
                      <w:pPr>
                        <w:pStyle w:val="TemplateBodyText"/>
                        <w:spacing w:line="380" w:lineRule="atLeast"/>
                        <w:jc w:val="right"/>
                        <w:rPr>
                          <w:rFonts w:asciiTheme="minorHAnsi" w:hAnsiTheme="minorHAnsi" w:cstheme="minorHAnsi"/>
                          <w:i/>
                          <w:sz w:val="22"/>
                          <w:szCs w:val="22"/>
                        </w:rPr>
                      </w:pPr>
                      <w:proofErr w:type="spellStart"/>
                      <w:r w:rsidRPr="00962C9E">
                        <w:rPr>
                          <w:rFonts w:asciiTheme="minorHAnsi" w:hAnsiTheme="minorHAnsi" w:cstheme="minorHAnsi"/>
                          <w:sz w:val="22"/>
                          <w:szCs w:val="22"/>
                          <w:lang w:val="nl-NL"/>
                        </w:rPr>
                        <w:t>Herziene</w:t>
                      </w:r>
                      <w:proofErr w:type="spellEnd"/>
                      <w:r w:rsidRPr="00962C9E">
                        <w:rPr>
                          <w:rFonts w:asciiTheme="minorHAnsi" w:hAnsiTheme="minorHAnsi" w:cstheme="minorHAnsi"/>
                          <w:sz w:val="22"/>
                          <w:szCs w:val="22"/>
                          <w:lang w:val="nl-NL"/>
                        </w:rPr>
                        <w:t xml:space="preserve"> </w:t>
                      </w:r>
                      <w:r w:rsidRPr="008136AD">
                        <w:rPr>
                          <w:rFonts w:asciiTheme="minorHAnsi" w:hAnsiTheme="minorHAnsi" w:cstheme="minorHAnsi"/>
                          <w:i/>
                          <w:sz w:val="22"/>
                          <w:szCs w:val="22"/>
                          <w:lang w:val="nl-NL"/>
                        </w:rPr>
                        <w:t>Standaarden</w:t>
                      </w:r>
                      <w:r w:rsidRPr="00962C9E">
                        <w:rPr>
                          <w:rFonts w:asciiTheme="minorHAnsi" w:hAnsiTheme="minorHAnsi" w:cstheme="minorHAnsi"/>
                          <w:sz w:val="22"/>
                          <w:szCs w:val="22"/>
                          <w:lang w:val="nl-NL"/>
                        </w:rPr>
                        <w:t xml:space="preserve"> die per 1 januari 2017 van kracht zijn</w:t>
                      </w:r>
                    </w:p>
                  </w:txbxContent>
                </v:textbox>
                <w10:wrap type="square" anchorx="margin" anchory="page"/>
              </v:shape>
            </w:pict>
          </mc:Fallback>
        </mc:AlternateContent>
      </w:r>
      <w:r w:rsidRPr="008136AD">
        <w:rPr>
          <w:rFonts w:asciiTheme="minorHAnsi" w:hAnsiTheme="minorHAnsi" w:cstheme="minorHAnsi"/>
          <w:noProof/>
          <w:lang w:val="nl-NL" w:eastAsia="nl-NL"/>
        </w:rPr>
        <mc:AlternateContent>
          <mc:Choice Requires="wps">
            <w:drawing>
              <wp:anchor distT="0" distB="0" distL="114300" distR="114300" simplePos="0" relativeHeight="251660288" behindDoc="0" locked="0" layoutInCell="1" allowOverlap="1">
                <wp:simplePos x="0" y="0"/>
                <wp:positionH relativeFrom="page">
                  <wp:posOffset>2514600</wp:posOffset>
                </wp:positionH>
                <wp:positionV relativeFrom="page">
                  <wp:posOffset>914400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A2DCB" w:rsidRPr="00E6381B" w:rsidRDefault="00A16AFB"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1210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Text Box 6" o:spid="_x0000_s1027" type="#_x0000_t202" style="position:absolute;margin-left:198pt;margin-top:1in;width:342pt;height:126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" filled="f" stroked="f">
                <v:textbox>
                  <w:txbxContent>
                    <w:p w:rsidR="00FA2DCB" w:rsidRPr="00E6381B" w:rsidRDefault="00A16AFB"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1210</w:t>
                      </w:r>
                    </w:p>
                  </w:txbxContent>
                </v:textbox>
                <w10:wrap type="square" anchorx="page" anchory="page"/>
              </v:shape>
            </w:pict>
          </mc:Fallback>
        </mc:AlternateContent>
      </w:r>
      <w:r w:rsidRPr="008136AD">
        <w:rPr>
          <w:rFonts w:asciiTheme="minorHAnsi" w:hAnsiTheme="minorHAnsi" w:cstheme="minorHAnsi"/>
          <w:lang w:val="nl-NL"/>
        </w:rPr>
        <w:t>Inleiding</w:t>
      </w:r>
    </w:p>
    <w:p w:rsidR="00F4497C" w:rsidRPr="008136AD" w:rsidRDefault="00A16AFB" w:rsidP="00E17952">
      <w:pPr>
        <w:pStyle w:val="TemplateBodyText"/>
        <w:rPr>
          <w:rFonts w:asciiTheme="minorHAnsi" w:hAnsiTheme="minorHAnsi" w:cstheme="minorHAnsi"/>
          <w:sz w:val="22"/>
          <w:szCs w:val="22"/>
        </w:rPr>
      </w:pPr>
      <w:r w:rsidRPr="008136AD">
        <w:rPr>
          <w:rFonts w:asciiTheme="minorHAnsi" w:hAnsiTheme="minorHAnsi" w:cstheme="minorHAnsi"/>
          <w:sz w:val="22"/>
          <w:szCs w:val="22"/>
          <w:lang w:val="nl-NL"/>
        </w:rPr>
        <w:t xml:space="preserve">Voor de naleving van Standaard 1210 is het essentieel dat internal auditors de verplichte richtlijnen in het </w:t>
      </w:r>
      <w:r w:rsidRPr="008136AD">
        <w:rPr>
          <w:rFonts w:asciiTheme="minorHAnsi" w:hAnsiTheme="minorHAnsi" w:cstheme="minorHAnsi"/>
          <w:i/>
          <w:iCs/>
          <w:sz w:val="22"/>
          <w:szCs w:val="22"/>
          <w:lang w:val="nl-NL"/>
        </w:rPr>
        <w:t xml:space="preserve">International Professional </w:t>
      </w:r>
      <w:proofErr w:type="spellStart"/>
      <w:r w:rsidRPr="008136AD">
        <w:rPr>
          <w:rFonts w:asciiTheme="minorHAnsi" w:hAnsiTheme="minorHAnsi" w:cstheme="minorHAnsi"/>
          <w:i/>
          <w:iCs/>
          <w:sz w:val="22"/>
          <w:szCs w:val="22"/>
          <w:lang w:val="nl-NL"/>
        </w:rPr>
        <w:t>Practices</w:t>
      </w:r>
      <w:proofErr w:type="spellEnd"/>
      <w:r w:rsidRPr="008136AD">
        <w:rPr>
          <w:rFonts w:asciiTheme="minorHAnsi" w:hAnsiTheme="minorHAnsi" w:cstheme="minorHAnsi"/>
          <w:i/>
          <w:iCs/>
          <w:sz w:val="22"/>
          <w:szCs w:val="22"/>
          <w:lang w:val="nl-NL"/>
        </w:rPr>
        <w:t xml:space="preserve"> Framework </w:t>
      </w:r>
      <w:r w:rsidRPr="008136AD">
        <w:rPr>
          <w:rFonts w:asciiTheme="minorHAnsi" w:hAnsiTheme="minorHAnsi" w:cstheme="minorHAnsi"/>
          <w:sz w:val="22"/>
          <w:szCs w:val="22"/>
          <w:lang w:val="nl-NL"/>
        </w:rPr>
        <w:t xml:space="preserve">(IPPF) van het IIA begrijpen en toepassen, en over </w:t>
      </w:r>
      <w:r w:rsidRPr="008136AD">
        <w:rPr>
          <w:rFonts w:asciiTheme="minorHAnsi" w:hAnsiTheme="minorHAnsi" w:cstheme="minorHAnsi"/>
          <w:sz w:val="22"/>
          <w:szCs w:val="22"/>
          <w:lang w:val="nl-NL"/>
        </w:rPr>
        <w:lastRenderedPageBreak/>
        <w:t xml:space="preserve">bepaalde kennis, vaardigheden en competenties beschikken. De eindverantwoordelijkheid voor de borging van de vakbekwaamheid van de internal auditfunctie ligt bij de Chief Audit Executive (CAE), die de internal auditfunctie en haar middelen effectief moet managen om het internal auditplan te realiseren en waarde toe te voegen aan de organisatie. (Het management van de internal auditfunctie en de middelen worden nader beschreven in reeks 2000 van de Standaarden.) </w:t>
      </w:r>
    </w:p>
    <w:p w:rsidR="00FC64EB" w:rsidRDefault="00A16AFB" w:rsidP="00CE540B">
      <w:pPr>
        <w:pStyle w:val="TemplateBodyText"/>
        <w:spacing w:after="100" w:afterAutospacing="1"/>
        <w:rPr>
          <w:rFonts w:asciiTheme="minorHAnsi" w:hAnsiTheme="minorHAnsi" w:cstheme="minorHAnsi"/>
          <w:sz w:val="22"/>
          <w:szCs w:val="22"/>
          <w:lang w:val="nl-NL"/>
        </w:rPr>
      </w:pPr>
      <w:r w:rsidRPr="008136AD">
        <w:rPr>
          <w:rFonts w:asciiTheme="minorHAnsi" w:hAnsiTheme="minorHAnsi" w:cstheme="minorHAnsi"/>
          <w:sz w:val="22"/>
          <w:szCs w:val="22"/>
          <w:lang w:val="nl-NL"/>
        </w:rPr>
        <w:t xml:space="preserve">Het </w:t>
      </w:r>
      <w:r w:rsidRPr="008136AD">
        <w:rPr>
          <w:rFonts w:asciiTheme="minorHAnsi" w:hAnsiTheme="minorHAnsi" w:cstheme="minorHAnsi"/>
          <w:i/>
          <w:iCs/>
          <w:sz w:val="22"/>
          <w:szCs w:val="22"/>
          <w:lang w:val="nl-NL"/>
        </w:rPr>
        <w:t xml:space="preserve">Global Internal Audit Competency Framework </w:t>
      </w:r>
      <w:r w:rsidRPr="008136AD">
        <w:rPr>
          <w:rFonts w:asciiTheme="minorHAnsi" w:hAnsiTheme="minorHAnsi" w:cstheme="minorHAnsi"/>
          <w:sz w:val="22"/>
          <w:szCs w:val="22"/>
          <w:lang w:val="nl-NL"/>
        </w:rPr>
        <w:t>van het IIA is het competentieraamwerk dat voor alle beroepsniveaus binnen internal audit (medewerkers, management en bestuurders) de kerncompetenties definieert die vereist zijn om de IPPF-voorschriften na te leven. Voor de naleving van Standaard 1210 is het raadzaam dat de CAE en internal auditors kennisnemen van de competenties in dit raamwerk, dez</w:t>
      </w:r>
      <w:r w:rsidR="008136AD">
        <w:rPr>
          <w:rFonts w:asciiTheme="minorHAnsi" w:hAnsiTheme="minorHAnsi" w:cstheme="minorHAnsi"/>
          <w:sz w:val="22"/>
          <w:szCs w:val="22"/>
          <w:lang w:val="nl-NL"/>
        </w:rPr>
        <w:t>e begrijpen en ter harte nemen.</w:t>
      </w:r>
      <w:r w:rsidR="008136AD">
        <w:rPr>
          <w:rFonts w:asciiTheme="minorHAnsi" w:hAnsiTheme="minorHAnsi" w:cstheme="minorHAnsi"/>
          <w:sz w:val="22"/>
          <w:szCs w:val="22"/>
          <w:lang w:val="nl-NL"/>
        </w:rPr>
        <w:br/>
      </w:r>
    </w:p>
    <w:p w:rsidR="00CF3850" w:rsidRPr="008136AD" w:rsidRDefault="00A16AFB" w:rsidP="00B915FF">
      <w:pPr>
        <w:pStyle w:val="TemplateHeadline"/>
        <w:spacing w:before="100" w:beforeAutospacing="1" w:after="100" w:afterAutospacing="1"/>
        <w:rPr>
          <w:rFonts w:asciiTheme="minorHAnsi" w:hAnsiTheme="minorHAnsi" w:cstheme="minorHAnsi"/>
        </w:rPr>
      </w:pPr>
      <w:r w:rsidRPr="008136AD">
        <w:rPr>
          <w:rFonts w:asciiTheme="minorHAnsi" w:hAnsiTheme="minorHAnsi" w:cstheme="minorHAnsi"/>
          <w:lang w:val="nl-NL"/>
        </w:rPr>
        <w:t>Overwegingen bij de implementatie</w:t>
      </w:r>
    </w:p>
    <w:p w:rsidR="00A94F39" w:rsidRPr="008136AD" w:rsidRDefault="00A16AFB" w:rsidP="00DB73D7">
      <w:pPr>
        <w:pStyle w:val="TemplateBodyText"/>
        <w:rPr>
          <w:rFonts w:asciiTheme="minorHAnsi" w:hAnsiTheme="minorHAnsi" w:cstheme="minorHAnsi"/>
          <w:sz w:val="22"/>
          <w:szCs w:val="22"/>
        </w:rPr>
      </w:pPr>
      <w:r w:rsidRPr="008136AD">
        <w:rPr>
          <w:rFonts w:asciiTheme="minorHAnsi" w:hAnsiTheme="minorHAnsi" w:cstheme="minorHAnsi"/>
          <w:sz w:val="22"/>
          <w:szCs w:val="22"/>
          <w:lang w:val="nl-NL"/>
        </w:rPr>
        <w:t xml:space="preserve">Voor het opbouwen en in stand houden van de vakbekwaamheid van de internal auditfunctie kan de CAE een instrument voor de beoordeling van competenties of vaardigheden ontwikkelen op basis van het IIA-Competentieraamwerk of een andere benchmark (zoals een </w:t>
      </w:r>
      <w:proofErr w:type="spellStart"/>
      <w:r w:rsidRPr="008136AD">
        <w:rPr>
          <w:rFonts w:asciiTheme="minorHAnsi" w:hAnsiTheme="minorHAnsi" w:cstheme="minorHAnsi"/>
          <w:sz w:val="22"/>
          <w:szCs w:val="22"/>
          <w:lang w:val="nl-NL"/>
        </w:rPr>
        <w:t>vakvolwassen</w:t>
      </w:r>
      <w:proofErr w:type="spellEnd"/>
      <w:r w:rsidRPr="008136AD">
        <w:rPr>
          <w:rFonts w:asciiTheme="minorHAnsi" w:hAnsiTheme="minorHAnsi" w:cstheme="minorHAnsi"/>
          <w:sz w:val="22"/>
          <w:szCs w:val="22"/>
          <w:lang w:val="nl-NL"/>
        </w:rPr>
        <w:t xml:space="preserve"> internal auditfunctie). De CAE kan vervolgens de basiscriteria voor de vakbekwaamheid van internal auditors verwerken in functieomschrijvingen en wervingsmateriaal om zo internal auditors met een passend opleidingsniveau en geschikte werkervaring te kunnen werven en aanstellen. De CAE kan het instrument om competenties te beoordelen ook inzetten voor een periodieke beoordeling van de vaardigheden van de internal auditfunctie om lacunes vast te stellen. Daarbij moet de CAE conform Standaard 1210.A2 en 1210.A3 de risico's ten aanzien van fraude, IT en de beschikbare geautomatiseerde audittechnieken in aanmerking nemen. </w:t>
      </w:r>
    </w:p>
    <w:p w:rsidR="007E16F3" w:rsidRPr="008136AD" w:rsidRDefault="00A16AFB" w:rsidP="00E306E7">
      <w:pPr>
        <w:pStyle w:val="RedBullets"/>
        <w:numPr>
          <w:ilvl w:val="0"/>
          <w:numId w:val="0"/>
        </w:numPr>
        <w:spacing w:after="180"/>
        <w:rPr>
          <w:rFonts w:asciiTheme="minorHAnsi" w:hAnsiTheme="minorHAnsi" w:cstheme="minorHAnsi"/>
          <w:sz w:val="22"/>
          <w:szCs w:val="22"/>
        </w:rPr>
      </w:pPr>
      <w:r w:rsidRPr="008136AD">
        <w:rPr>
          <w:rFonts w:asciiTheme="minorHAnsi" w:hAnsiTheme="minorHAnsi" w:cstheme="minorHAnsi"/>
          <w:sz w:val="22"/>
          <w:szCs w:val="22"/>
          <w:lang w:val="nl-NL"/>
        </w:rPr>
        <w:t xml:space="preserve">Daarnaast gelden er voor de CAE verplichtingen inzake het waarborgen van de vakbekwaamheid van de internal auditfunctie als geheel. Dit omvat het managen van de internal auditfunctie conform de verplichte richtlijnen in het IPPF (Standaard 2000 </w:t>
      </w:r>
      <w:r w:rsidRPr="008136AD">
        <w:rPr>
          <w:rFonts w:asciiTheme="minorHAnsi" w:hAnsiTheme="minorHAnsi" w:cstheme="minorHAnsi"/>
          <w:i/>
          <w:iCs/>
          <w:sz w:val="22"/>
          <w:szCs w:val="22"/>
          <w:lang w:val="nl-NL"/>
        </w:rPr>
        <w:t>Management van de internal auditfunctie</w:t>
      </w:r>
      <w:r w:rsidRPr="008136AD">
        <w:rPr>
          <w:rFonts w:asciiTheme="minorHAnsi" w:hAnsiTheme="minorHAnsi" w:cstheme="minorHAnsi"/>
          <w:sz w:val="22"/>
          <w:szCs w:val="22"/>
          <w:lang w:val="nl-NL"/>
        </w:rPr>
        <w:t xml:space="preserve">) en ervoor zorgen dat de internal auditfunctie beschikt over de gepaste mix van kennis, vaardigheden en andere competenties om het internal auditplan te realiseren (Standaard 2030 </w:t>
      </w:r>
      <w:r w:rsidRPr="008136AD">
        <w:rPr>
          <w:rFonts w:asciiTheme="minorHAnsi" w:hAnsiTheme="minorHAnsi" w:cstheme="minorHAnsi"/>
          <w:i/>
          <w:iCs/>
          <w:sz w:val="22"/>
          <w:szCs w:val="22"/>
          <w:lang w:val="nl-NL"/>
        </w:rPr>
        <w:t>Beheer van middelen</w:t>
      </w:r>
      <w:r w:rsidRPr="008136AD">
        <w:rPr>
          <w:rFonts w:asciiTheme="minorHAnsi" w:hAnsiTheme="minorHAnsi" w:cstheme="minorHAnsi"/>
          <w:sz w:val="22"/>
          <w:szCs w:val="22"/>
          <w:lang w:val="nl-NL"/>
        </w:rPr>
        <w:t xml:space="preserve">). Als de internal auditfunctie niet een passende en voldoende personeelsbezetting heeft, wordt de CAE geacht </w:t>
      </w:r>
      <w:r w:rsidRPr="008136AD">
        <w:rPr>
          <w:rFonts w:asciiTheme="minorHAnsi" w:hAnsiTheme="minorHAnsi" w:cstheme="minorHAnsi"/>
          <w:sz w:val="22"/>
          <w:szCs w:val="22"/>
          <w:lang w:val="nl-NL"/>
        </w:rPr>
        <w:lastRenderedPageBreak/>
        <w:t>de leemtes op te vullen door deskundige advisering of ondersteuning te regelen. De CAE kan de in het IIA-Competentieraamwerk gedefinieerde criteria hanteren om leemtes in de vakbekwaamheid van de internal auditfunctie als geheel te identificeren en plannen te ontwikkelen voor het opvullen van leemtes via aanstellingen, training, outsourcing of andere methoden(in Standaard 2050 en de bijbehorende Implementatierichtlijn wordt nader uiteengezet hoe werkzaamheden met andere interne en externe auditors en adviseurs moeten worden gecoördineerd.)</w:t>
      </w:r>
      <w:r w:rsidRPr="008136AD">
        <w:rPr>
          <w:rFonts w:asciiTheme="minorHAnsi" w:hAnsiTheme="minorHAnsi" w:cstheme="minorHAnsi"/>
          <w:sz w:val="22"/>
          <w:szCs w:val="22"/>
          <w:highlight w:val="yellow"/>
          <w:lang w:val="nl-NL"/>
        </w:rPr>
        <w:t xml:space="preserve"> </w:t>
      </w:r>
    </w:p>
    <w:p w:rsidR="003D2D63" w:rsidRPr="008136AD" w:rsidRDefault="00A16AFB" w:rsidP="00E306E7">
      <w:pPr>
        <w:pStyle w:val="RedBullets"/>
        <w:numPr>
          <w:ilvl w:val="0"/>
          <w:numId w:val="0"/>
        </w:numPr>
        <w:spacing w:after="180"/>
        <w:rPr>
          <w:rFonts w:asciiTheme="minorHAnsi" w:hAnsiTheme="minorHAnsi" w:cstheme="minorHAnsi"/>
          <w:sz w:val="22"/>
          <w:szCs w:val="22"/>
        </w:rPr>
      </w:pPr>
      <w:r w:rsidRPr="008136AD">
        <w:rPr>
          <w:rFonts w:asciiTheme="minorHAnsi" w:hAnsiTheme="minorHAnsi" w:cstheme="minorHAnsi"/>
          <w:sz w:val="22"/>
          <w:szCs w:val="22"/>
          <w:lang w:val="nl-NL"/>
        </w:rPr>
        <w:t xml:space="preserve">Om de vakbekwaamheid van de internal auditfunctie te verbeteren kan de CAE de vaktechnische ontwikkeling van internal auditors stimuleren via training op de werkvloer, deelname aan conferenties en seminars of het aanmoedigen van het behalen van beroepscertificeringen. Op basis van de periodieke beoordeling van het functioneren van de internal auditors kan de CAE inzicht krijgen in de opleidingsbehoeften en feedback geven die bijdraagt aan hun individuele ontwikkeling. </w:t>
      </w:r>
    </w:p>
    <w:p w:rsidR="007E7D69" w:rsidRPr="008136AD" w:rsidRDefault="00A16AFB" w:rsidP="00D4774F">
      <w:pPr>
        <w:pStyle w:val="RedBullets"/>
        <w:numPr>
          <w:ilvl w:val="0"/>
          <w:numId w:val="0"/>
        </w:numPr>
        <w:spacing w:after="180"/>
        <w:rPr>
          <w:rFonts w:asciiTheme="minorHAnsi" w:hAnsiTheme="minorHAnsi" w:cstheme="minorHAnsi"/>
          <w:sz w:val="22"/>
          <w:szCs w:val="22"/>
        </w:rPr>
      </w:pPr>
      <w:r w:rsidRPr="008136AD">
        <w:rPr>
          <w:rFonts w:asciiTheme="minorHAnsi" w:hAnsiTheme="minorHAnsi" w:cstheme="minorHAnsi"/>
          <w:sz w:val="22"/>
          <w:szCs w:val="22"/>
          <w:lang w:val="nl-NL"/>
        </w:rPr>
        <w:t xml:space="preserve">Standaard 1210 schrijft ook voor dat individuele internal auditors over de kennis, vaardigheden en competenties moeten beschikken die nodig zijn om hun verplichtingen doeltreffend uit te voeren. Individuele internal auditors kunnen het IIA-Competentieraamwerk gebruiken als basis voor hun zelfevaluatie. Daarnaast wordt er in de Standaard op aangedrongen dat internal auditors passende certificeringen en kwalificaties behalen om verdere vaktechnische ontwikkeling en verbetering van de vakbekwaamheid van zowel individuen als de internal auditfunctie als geheel te stimuleren. In het verlengde hiervan moeten internal auditors hun competenties verbeteren via voortdurende vaktechnische ontwikkeling, zoals uiteengezet in Standaard 1230 </w:t>
      </w:r>
      <w:r w:rsidRPr="008136AD">
        <w:rPr>
          <w:rFonts w:asciiTheme="minorHAnsi" w:hAnsiTheme="minorHAnsi" w:cstheme="minorHAnsi"/>
          <w:i/>
          <w:iCs/>
          <w:sz w:val="22"/>
          <w:szCs w:val="22"/>
          <w:lang w:val="nl-NL"/>
        </w:rPr>
        <w:t>Voortdurende vaktechnische ontwikkeling</w:t>
      </w:r>
      <w:r w:rsidRPr="008136AD">
        <w:rPr>
          <w:rFonts w:asciiTheme="minorHAnsi" w:hAnsiTheme="minorHAnsi" w:cstheme="minorHAnsi"/>
          <w:sz w:val="22"/>
          <w:szCs w:val="22"/>
          <w:lang w:val="nl-NL"/>
        </w:rPr>
        <w:t xml:space="preserve">. Internal auditors moeten zich op de hoogte houden van de permanente educatie die vereist is om hun beroepscertificeringen in stand te houden. </w:t>
      </w:r>
    </w:p>
    <w:p w:rsidR="00D4774F" w:rsidRPr="008136AD" w:rsidRDefault="00A16AFB" w:rsidP="00D4774F">
      <w:pPr>
        <w:pStyle w:val="RedBullets"/>
        <w:numPr>
          <w:ilvl w:val="0"/>
          <w:numId w:val="0"/>
        </w:numPr>
        <w:spacing w:after="180"/>
        <w:rPr>
          <w:rFonts w:asciiTheme="minorHAnsi" w:hAnsiTheme="minorHAnsi" w:cstheme="minorHAnsi"/>
          <w:sz w:val="22"/>
          <w:szCs w:val="22"/>
        </w:rPr>
      </w:pPr>
      <w:r w:rsidRPr="008136AD">
        <w:rPr>
          <w:rFonts w:asciiTheme="minorHAnsi" w:hAnsiTheme="minorHAnsi" w:cstheme="minorHAnsi"/>
          <w:sz w:val="22"/>
          <w:szCs w:val="22"/>
          <w:lang w:val="nl-NL"/>
        </w:rPr>
        <w:t xml:space="preserve">Omdat Standaard 1210 vereist dat in het kader van de vakbekwaamheid actuele werkzaamheden, trends en opkomende kwesties in aanmerking worden genomen, kan permanente educatie ook training inhouden over veranderingen in de sector die van invloed kunnen zijn op de organisatie of het beroep van internal auditor. De CAE kan in dit verband bijdragen aan het waarborgen van de vakbekwaamheid van de internal auditfunctie als geheel. Zo kan CAE zich abonneren op nieuwsdiensten of elektronische nieuwsbrieven voor de sector, die vaak informatie bevatten over onlangs gepubliceerde studies en </w:t>
      </w:r>
      <w:proofErr w:type="spellStart"/>
      <w:r w:rsidRPr="008136AD">
        <w:rPr>
          <w:rFonts w:asciiTheme="minorHAnsi" w:hAnsiTheme="minorHAnsi" w:cstheme="minorHAnsi"/>
          <w:sz w:val="22"/>
          <w:szCs w:val="22"/>
          <w:lang w:val="nl-NL"/>
        </w:rPr>
        <w:t>whitepapers</w:t>
      </w:r>
      <w:proofErr w:type="spellEnd"/>
      <w:r w:rsidRPr="008136AD">
        <w:rPr>
          <w:rFonts w:asciiTheme="minorHAnsi" w:hAnsiTheme="minorHAnsi" w:cstheme="minorHAnsi"/>
          <w:sz w:val="22"/>
          <w:szCs w:val="22"/>
          <w:lang w:val="nl-NL"/>
        </w:rPr>
        <w:t xml:space="preserve">. Ook kan de CAE online of fysiek seminars bijwonen of medewerkers aanraden dit te doen. De CAE kan periodiek interne trainingen organiseren om nieuwe technologieën of veranderingen </w:t>
      </w:r>
      <w:r w:rsidRPr="008136AD">
        <w:rPr>
          <w:rFonts w:asciiTheme="minorHAnsi" w:hAnsiTheme="minorHAnsi" w:cstheme="minorHAnsi"/>
          <w:sz w:val="22"/>
          <w:szCs w:val="22"/>
          <w:lang w:val="nl-NL"/>
        </w:rPr>
        <w:lastRenderedPageBreak/>
        <w:t xml:space="preserve">in internal auditpraktijken onder de aandacht te brengen. </w:t>
      </w:r>
    </w:p>
    <w:p w:rsidR="009A6134" w:rsidRPr="008136AD" w:rsidRDefault="00A16AFB" w:rsidP="009A6134">
      <w:pPr>
        <w:pStyle w:val="TemplateBodyText"/>
        <w:rPr>
          <w:rFonts w:asciiTheme="minorHAnsi" w:hAnsiTheme="minorHAnsi" w:cstheme="minorHAnsi"/>
          <w:sz w:val="22"/>
          <w:szCs w:val="22"/>
        </w:rPr>
      </w:pPr>
      <w:r w:rsidRPr="008136AD">
        <w:rPr>
          <w:rFonts w:asciiTheme="minorHAnsi" w:hAnsiTheme="minorHAnsi" w:cstheme="minorHAnsi"/>
          <w:sz w:val="22"/>
          <w:szCs w:val="22"/>
          <w:lang w:val="nl-NL"/>
        </w:rPr>
        <w:t xml:space="preserve">Op het niveau van individuele opdrachten heeft de CAE de eindverantwoordelijkheid voor het toezicht op de opdracht ter waarborging van de kwaliteit, realisering van de doelstellingen en ontwikkeling van de medewerkers (Standaard 2340 </w:t>
      </w:r>
      <w:r w:rsidRPr="008136AD">
        <w:rPr>
          <w:rFonts w:asciiTheme="minorHAnsi" w:hAnsiTheme="minorHAnsi" w:cstheme="minorHAnsi"/>
          <w:i/>
          <w:iCs/>
          <w:sz w:val="22"/>
          <w:szCs w:val="22"/>
          <w:lang w:val="nl-NL"/>
        </w:rPr>
        <w:t>Toezicht op de opdracht</w:t>
      </w:r>
      <w:r w:rsidRPr="008136AD">
        <w:rPr>
          <w:rFonts w:asciiTheme="minorHAnsi" w:hAnsiTheme="minorHAnsi" w:cstheme="minorHAnsi"/>
          <w:sz w:val="22"/>
          <w:szCs w:val="22"/>
          <w:lang w:val="nl-NL"/>
        </w:rPr>
        <w:t>). De mate waarin toezicht vereist is, wordt mede bepaald door de vakbekwaamheid en ervaring van de internal auditors. Om hiervan op de hoogte te blijven, kan de CAE periodiek de vaardigheden beoordelen van individuele internal auditors. Ook kan de CAE of voor een de opdracht verantwoordelijke leidinggevende na afloop van de opdracht feedback bij de opdrachtgever vergaren, via een vragenlijst en/of (formeel of informeel) gesprek, over de vakbekwaamheid waarmee de internal auditors de opdracht hebben uitgevoerd.</w:t>
      </w:r>
    </w:p>
    <w:p w:rsidR="0024526F" w:rsidRPr="008136AD" w:rsidRDefault="00A16AFB" w:rsidP="003D2D63">
      <w:pPr>
        <w:pStyle w:val="RedBullets"/>
        <w:numPr>
          <w:ilvl w:val="0"/>
          <w:numId w:val="0"/>
        </w:numPr>
        <w:spacing w:after="180"/>
        <w:rPr>
          <w:rFonts w:asciiTheme="minorHAnsi" w:hAnsiTheme="minorHAnsi" w:cstheme="minorHAnsi"/>
          <w:sz w:val="22"/>
          <w:szCs w:val="22"/>
        </w:rPr>
      </w:pPr>
      <w:r w:rsidRPr="008136AD">
        <w:rPr>
          <w:rFonts w:asciiTheme="minorHAnsi" w:hAnsiTheme="minorHAnsi" w:cstheme="minorHAnsi"/>
          <w:i/>
          <w:iCs/>
          <w:sz w:val="22"/>
          <w:szCs w:val="22"/>
          <w:lang w:val="nl-NL"/>
        </w:rPr>
        <w:t>Bij de planning van opdrachten hebben internal auditors de individuele verantwoordelijkheid om in aanmerking te nemen of er passende en voldoende middelen beschikbaar zijn om de doelstelling te realiseren (Standaard 2230 - Toekenning van middelen aan de opdracht</w:t>
      </w:r>
      <w:r w:rsidRPr="008136AD">
        <w:rPr>
          <w:rFonts w:asciiTheme="minorHAnsi" w:hAnsiTheme="minorHAnsi" w:cstheme="minorHAnsi"/>
          <w:sz w:val="22"/>
          <w:szCs w:val="22"/>
          <w:lang w:val="nl-NL"/>
        </w:rPr>
        <w:t xml:space="preserve">). Internal auditors beoordelen meestal eerst de doelstellingen en reikwijdte van de auditopdracht. Vervolgens bespreken ze met de CAE eventuele beperkingen in hun competenties die ertoe kunnen leiden dat ze deze </w:t>
      </w:r>
      <w:r w:rsidR="008136AD">
        <w:rPr>
          <w:rFonts w:asciiTheme="minorHAnsi" w:hAnsiTheme="minorHAnsi" w:cstheme="minorHAnsi"/>
          <w:sz w:val="22"/>
          <w:szCs w:val="22"/>
          <w:lang w:val="nl-NL"/>
        </w:rPr>
        <w:t>doelstellingen niet realiseren.</w:t>
      </w:r>
      <w:r w:rsidR="008136AD">
        <w:rPr>
          <w:rFonts w:asciiTheme="minorHAnsi" w:hAnsiTheme="minorHAnsi" w:cstheme="minorHAnsi"/>
          <w:sz w:val="22"/>
          <w:szCs w:val="22"/>
          <w:lang w:val="nl-NL"/>
        </w:rPr>
        <w:br/>
      </w:r>
    </w:p>
    <w:p w:rsidR="00CF3850" w:rsidRPr="008136AD" w:rsidRDefault="00A16AFB" w:rsidP="00CF3850">
      <w:pPr>
        <w:pStyle w:val="TemplateHeadline"/>
        <w:spacing w:before="100" w:beforeAutospacing="1" w:after="100" w:afterAutospacing="1"/>
        <w:rPr>
          <w:rFonts w:asciiTheme="minorHAnsi" w:hAnsiTheme="minorHAnsi" w:cstheme="minorHAnsi"/>
        </w:rPr>
      </w:pPr>
      <w:r w:rsidRPr="008136AD">
        <w:rPr>
          <w:rFonts w:asciiTheme="minorHAnsi" w:hAnsiTheme="minorHAnsi" w:cstheme="minorHAnsi"/>
          <w:lang w:val="nl-NL"/>
        </w:rPr>
        <w:t>Overwegingen bij het aantonen van de naleving</w:t>
      </w:r>
    </w:p>
    <w:p w:rsidR="004C3E49" w:rsidRPr="008136AD" w:rsidRDefault="00A16AFB" w:rsidP="002A3FBE">
      <w:pPr>
        <w:pStyle w:val="TemplateBodyText"/>
        <w:spacing w:before="180" w:after="100" w:afterAutospacing="1"/>
        <w:rPr>
          <w:rFonts w:asciiTheme="minorHAnsi" w:hAnsiTheme="minorHAnsi" w:cstheme="minorHAnsi"/>
          <w:sz w:val="22"/>
          <w:szCs w:val="22"/>
        </w:rPr>
      </w:pPr>
      <w:r w:rsidRPr="008136AD">
        <w:rPr>
          <w:rFonts w:asciiTheme="minorHAnsi" w:hAnsiTheme="minorHAnsi" w:cstheme="minorHAnsi"/>
          <w:sz w:val="22"/>
          <w:szCs w:val="22"/>
          <w:lang w:val="nl-NL"/>
        </w:rPr>
        <w:t>Individuele internal auditors kunnen hun vakbekwaamheid onder andere aantonen aan de hand van hun cv's en de documentatie van hun certificeringen en voortdurende vaktechnische ontwikkeling (zoals cursussen voor PE-punten, deelname aan conferenties, workshops en seminars en functioneringsgesprekken).</w:t>
      </w:r>
    </w:p>
    <w:p w:rsidR="00EC5FEE" w:rsidRPr="008136AD" w:rsidRDefault="00A16AFB" w:rsidP="00EC5FEE">
      <w:pPr>
        <w:pStyle w:val="TemplateBodyText"/>
        <w:rPr>
          <w:rFonts w:asciiTheme="minorHAnsi" w:hAnsiTheme="minorHAnsi" w:cstheme="minorHAnsi"/>
          <w:sz w:val="22"/>
          <w:szCs w:val="22"/>
        </w:rPr>
      </w:pPr>
      <w:r w:rsidRPr="008136AD">
        <w:rPr>
          <w:rFonts w:asciiTheme="minorHAnsi" w:hAnsiTheme="minorHAnsi" w:cstheme="minorHAnsi"/>
          <w:sz w:val="22"/>
          <w:szCs w:val="22"/>
          <w:lang w:val="nl-NL"/>
        </w:rPr>
        <w:t>CAE's kunnen hun inspanning voor de opbouw en instandhouding van een vakbekwame internal auditfunctie aantonen door de inzet van een instrument voor competentiebeoordeling en de ontwikkeling van beleid, procedures en trainingsmaterialen voor de internal auditfunctie. De inspanningen voor het werven en aanstellen van vakbekwame internal auditors kunnen blijken uit functieomschrijvingen en ander wervingsmateriaal.</w:t>
      </w:r>
    </w:p>
    <w:p w:rsidR="00C31FFD" w:rsidRPr="008136AD" w:rsidRDefault="00A16AFB" w:rsidP="00DD2EF2">
      <w:pPr>
        <w:pStyle w:val="TemplateBodyText"/>
        <w:rPr>
          <w:rFonts w:asciiTheme="minorHAnsi" w:hAnsiTheme="minorHAnsi" w:cstheme="minorHAnsi"/>
          <w:sz w:val="22"/>
          <w:szCs w:val="22"/>
        </w:rPr>
      </w:pPr>
      <w:r w:rsidRPr="008136AD">
        <w:rPr>
          <w:rFonts w:asciiTheme="minorHAnsi" w:hAnsiTheme="minorHAnsi" w:cstheme="minorHAnsi"/>
          <w:sz w:val="22"/>
          <w:szCs w:val="22"/>
          <w:lang w:val="nl-NL"/>
        </w:rPr>
        <w:lastRenderedPageBreak/>
        <w:t>De CAE of een voor de opdracht verantwoordelijke leidinggevende kan dossiers vormen over hun evaluatie van individuele internal auditors en de internal auditfunctie als geheel. Dergelijke evaluaties kunnen individuele prestatiebeoordelingen en na afloop van de opdracht gevoerde gesprekken en opgestelde memoranda en notulen bevatten. Daarnaast kan de vakbekwaamheid van de internal auditfunctie en/of individuele internal auditors worden aangetoond door gedocumenteerde feedback die na afloop van opdrachten bij opdrachtgevers is vergaard via vragenlijsten en gesprekken.</w:t>
      </w:r>
    </w:p>
    <w:p w:rsidR="00EE0030" w:rsidRPr="008136AD" w:rsidRDefault="00A16AFB" w:rsidP="00DD2EF2">
      <w:pPr>
        <w:pStyle w:val="TemplateBodyText"/>
        <w:rPr>
          <w:rFonts w:asciiTheme="minorHAnsi" w:hAnsiTheme="minorHAnsi" w:cstheme="minorHAnsi"/>
          <w:sz w:val="22"/>
          <w:szCs w:val="22"/>
        </w:rPr>
      </w:pPr>
      <w:r w:rsidRPr="008136AD">
        <w:rPr>
          <w:rFonts w:asciiTheme="minorHAnsi" w:hAnsiTheme="minorHAnsi" w:cstheme="minorHAnsi"/>
          <w:sz w:val="22"/>
          <w:szCs w:val="22"/>
          <w:lang w:val="nl-NL"/>
        </w:rPr>
        <w:t xml:space="preserve">De naleving door de internal auditfunctie als geheel kan worden aangetoond door een of meer van de volgende documenten: </w:t>
      </w:r>
    </w:p>
    <w:p w:rsidR="00FA2889" w:rsidRPr="008136AD" w:rsidRDefault="00A16AFB" w:rsidP="00FD22FC">
      <w:pPr>
        <w:pStyle w:val="RedBullets"/>
        <w:spacing w:before="180"/>
        <w:rPr>
          <w:rFonts w:asciiTheme="minorHAnsi" w:hAnsiTheme="minorHAnsi" w:cstheme="minorHAnsi"/>
          <w:sz w:val="22"/>
          <w:szCs w:val="22"/>
        </w:rPr>
      </w:pPr>
      <w:r w:rsidRPr="008136AD">
        <w:rPr>
          <w:rFonts w:asciiTheme="minorHAnsi" w:hAnsiTheme="minorHAnsi" w:cstheme="minorHAnsi"/>
          <w:sz w:val="22"/>
          <w:szCs w:val="22"/>
          <w:lang w:val="nl-NL"/>
        </w:rPr>
        <w:t>Het internal auditplan dat een analyse van de vereiste middelen bevat.</w:t>
      </w:r>
    </w:p>
    <w:p w:rsidR="00EE0030" w:rsidRPr="008136AD" w:rsidRDefault="00A16AFB" w:rsidP="00EE0030">
      <w:pPr>
        <w:pStyle w:val="RedBullets"/>
        <w:rPr>
          <w:rFonts w:asciiTheme="minorHAnsi" w:hAnsiTheme="minorHAnsi" w:cstheme="minorHAnsi"/>
          <w:sz w:val="22"/>
          <w:szCs w:val="22"/>
        </w:rPr>
      </w:pPr>
      <w:r w:rsidRPr="008136AD">
        <w:rPr>
          <w:rFonts w:asciiTheme="minorHAnsi" w:hAnsiTheme="minorHAnsi" w:cstheme="minorHAnsi"/>
          <w:sz w:val="22"/>
          <w:szCs w:val="22"/>
          <w:lang w:val="nl-NL"/>
        </w:rPr>
        <w:t xml:space="preserve">Een inventarisatie van de beschikbare vaardigheden bij de medewerkers van de auditfunctie of hun individuele profielen en kwalificaties. </w:t>
      </w:r>
    </w:p>
    <w:p w:rsidR="00EE0030" w:rsidRPr="008136AD" w:rsidRDefault="00A16AFB" w:rsidP="00EE0030">
      <w:pPr>
        <w:pStyle w:val="RedBullets"/>
        <w:rPr>
          <w:rFonts w:asciiTheme="minorHAnsi" w:hAnsiTheme="minorHAnsi" w:cstheme="minorHAnsi"/>
          <w:sz w:val="22"/>
          <w:szCs w:val="22"/>
        </w:rPr>
      </w:pPr>
      <w:r w:rsidRPr="008136AD">
        <w:rPr>
          <w:rFonts w:asciiTheme="minorHAnsi" w:hAnsiTheme="minorHAnsi" w:cstheme="minorHAnsi"/>
          <w:sz w:val="22"/>
          <w:szCs w:val="22"/>
          <w:lang w:val="nl-NL"/>
        </w:rPr>
        <w:t>Een document dat de kwaliteitsbewaking in kaart brengt ('assurance map'), inclusief een lijst van de dienstverleners waarop de internal auditfunctie een beroep doet.</w:t>
      </w:r>
    </w:p>
    <w:p w:rsidR="00EE0030" w:rsidRPr="008136AD" w:rsidRDefault="00A16AFB" w:rsidP="00FD22FC">
      <w:pPr>
        <w:pStyle w:val="RedBullets"/>
        <w:spacing w:before="100" w:beforeAutospacing="1" w:after="180"/>
        <w:rPr>
          <w:rFonts w:asciiTheme="minorHAnsi" w:hAnsiTheme="minorHAnsi" w:cstheme="minorHAnsi"/>
          <w:sz w:val="22"/>
          <w:szCs w:val="22"/>
        </w:rPr>
      </w:pPr>
      <w:r w:rsidRPr="008136AD">
        <w:rPr>
          <w:rFonts w:asciiTheme="minorHAnsi" w:hAnsiTheme="minorHAnsi" w:cstheme="minorHAnsi"/>
          <w:sz w:val="22"/>
          <w:szCs w:val="22"/>
          <w:lang w:val="nl-NL"/>
        </w:rPr>
        <w:t>Gedocumenteerde resultaten van interne beoordelingen.</w:t>
      </w:r>
    </w:p>
    <w:p w:rsidR="006050F3" w:rsidRPr="008136AD" w:rsidRDefault="00A16AFB" w:rsidP="00CF3850">
      <w:pPr>
        <w:rPr>
          <w:rFonts w:cstheme="minorHAnsi"/>
          <w:color w:val="000000"/>
          <w:lang w:val="pt-BR"/>
        </w:rPr>
      </w:pPr>
      <w:r w:rsidRPr="008136AD">
        <w:rPr>
          <w:rFonts w:cstheme="minorHAnsi"/>
          <w:noProof/>
          <w:lang w:val="nl-NL" w:eastAsia="nl-NL"/>
        </w:rPr>
        <w:lastRenderedPageBreak/>
        <mc:AlternateContent>
          <mc:Choice Requires="wps">
            <w:drawing>
              <wp:anchor distT="2103120" distB="274320" distL="114300" distR="114300" simplePos="0" relativeHeight="251662336" behindDoc="0" locked="0" layoutInCell="1" allowOverlap="1">
                <wp:simplePos x="0" y="0"/>
                <wp:positionH relativeFrom="margin">
                  <wp:posOffset>0</wp:posOffset>
                </wp:positionH>
                <wp:positionV relativeFrom="paragraph">
                  <wp:posOffset>2723515</wp:posOffset>
                </wp:positionV>
                <wp:extent cx="6400800" cy="5133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16AFB" w:rsidRPr="00E6381B" w:rsidRDefault="00A16AFB" w:rsidP="00A16AFB">
                            <w:pPr>
                              <w:pStyle w:val="BoilerplateHeadline"/>
                            </w:pPr>
                            <w:r w:rsidRPr="00E6381B">
                              <w:rPr>
                                <w:lang w:val="nl-NL"/>
                              </w:rPr>
                              <w:t xml:space="preserve">Over het IIA </w:t>
                            </w:r>
                          </w:p>
                          <w:p w:rsidR="00A16AFB" w:rsidRPr="001A0D5D" w:rsidRDefault="00A16AFB" w:rsidP="00A16AFB">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A16AFB" w:rsidRPr="00E6381B" w:rsidRDefault="00A16AFB" w:rsidP="00A16AFB">
                            <w:pPr>
                              <w:pStyle w:val="BoilerplateHeadline"/>
                            </w:pPr>
                            <w:r w:rsidRPr="00E6381B">
                              <w:rPr>
                                <w:lang w:val="nl-NL"/>
                              </w:rPr>
                              <w:t>Over de Implementatierichtlijnen</w:t>
                            </w:r>
                          </w:p>
                          <w:p w:rsidR="00A16AFB" w:rsidRDefault="00A16AFB" w:rsidP="00A16AFB">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A16AFB" w:rsidRDefault="00A16AFB" w:rsidP="00A16AFB">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A16AFB" w:rsidRDefault="00A16AFB" w:rsidP="00A16AFB">
                            <w:pPr>
                              <w:pStyle w:val="BoilerplateBodyText"/>
                              <w:ind w:right="60"/>
                            </w:pPr>
                            <w:r>
                              <w:rPr>
                                <w:lang w:val="nl-NL"/>
                              </w:rPr>
                              <w:t xml:space="preserve">Andere gezaghebbende richtlijnen van het IIA kunt u vinden op onze websites: www.globaliia.org/standards-guidance en www.theiia.org/guidance. </w:t>
                            </w:r>
                          </w:p>
                          <w:p w:rsidR="00A16AFB" w:rsidRDefault="00A16AFB" w:rsidP="00A16AFB">
                            <w:pPr>
                              <w:pStyle w:val="BoilerplateHeadline"/>
                            </w:pPr>
                            <w:r>
                              <w:rPr>
                                <w:lang w:val="nl-NL"/>
                              </w:rPr>
                              <w:t>Disclaimer</w:t>
                            </w:r>
                          </w:p>
                          <w:p w:rsidR="00A16AFB" w:rsidRDefault="00A16AFB" w:rsidP="00A16AFB">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A16AFB" w:rsidRDefault="00A16AFB" w:rsidP="00A16AFB">
                            <w:pPr>
                              <w:pStyle w:val="BoilerplateHeadline"/>
                              <w:spacing w:after="60"/>
                            </w:pPr>
                            <w:r>
                              <w:rPr>
                                <w:lang w:val="nl-NL"/>
                              </w:rPr>
                              <w:t>Auteursrecht</w:t>
                            </w:r>
                          </w:p>
                          <w:p w:rsidR="00A16AFB" w:rsidRDefault="00A16AFB" w:rsidP="00A16AFB">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w:t>
                            </w:r>
                            <w:r w:rsidR="0036648B">
                              <w:rPr>
                                <w:i/>
                                <w:iCs/>
                                <w:lang w:val="nl-NL"/>
                              </w:rPr>
                              <w:t xml:space="preserve"> </w:t>
                            </w:r>
                            <w:r>
                              <w:rPr>
                                <w:lang w:val="nl-NL"/>
                              </w:rPr>
                              <w:t xml:space="preserve">Toestemming voor reproductie van deze publicatie kunt u per e-mail aanvragen via guidance@theiia.org. </w:t>
                            </w:r>
                          </w:p>
                          <w:p w:rsidR="00FA2DCB" w:rsidRPr="00261E16" w:rsidRDefault="004F3B57" w:rsidP="00F76278">
                            <w:pPr>
                              <w:pStyle w:val="BoilerplateBodyText"/>
                              <w:rPr>
                                <w:vanish/>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0;margin-top:214.45pt;width:7in;height:404.25pt;z-index:251662336;visibility:visible;mso-wrap-style:square;mso-height-percent:0;mso-wrap-distance-left:9pt;mso-wrap-distance-top:165.6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" fillcolor="#d8d8d8 [2732]" stroked="f">
                <v:textbox inset="14.4pt,23.76pt,14.4pt,23.76pt">
                  <w:txbxContent>
                    <w:p w:rsidR="00A16AFB" w:rsidRPr="00E6381B" w:rsidRDefault="00A16AFB" w:rsidP="00A16AFB">
                      <w:pPr>
                        <w:pStyle w:val="BoilerplateHeadline"/>
                      </w:pPr>
                      <w:r w:rsidRPr="00E6381B">
                        <w:rPr>
                          <w:lang w:val="nl-NL"/>
                        </w:rPr>
                        <w:t xml:space="preserve">Over het IIA </w:t>
                      </w:r>
                    </w:p>
                    <w:p w:rsidR="00A16AFB" w:rsidRPr="001A0D5D" w:rsidRDefault="00A16AFB" w:rsidP="00A16AFB">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A16AFB" w:rsidRPr="00E6381B" w:rsidRDefault="00A16AFB" w:rsidP="00A16AFB">
                      <w:pPr>
                        <w:pStyle w:val="BoilerplateHeadline"/>
                      </w:pPr>
                      <w:r w:rsidRPr="00E6381B">
                        <w:rPr>
                          <w:lang w:val="nl-NL"/>
                        </w:rPr>
                        <w:t>Over de Implementatierichtlijnen</w:t>
                      </w:r>
                    </w:p>
                    <w:p w:rsidR="00A16AFB" w:rsidRDefault="00A16AFB" w:rsidP="00A16AFB">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A16AFB" w:rsidRDefault="00A16AFB" w:rsidP="00A16AFB">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A16AFB" w:rsidRDefault="00A16AFB" w:rsidP="00A16AFB">
                      <w:pPr>
                        <w:pStyle w:val="BoilerplateBodyText"/>
                        <w:ind w:right="60"/>
                      </w:pPr>
                      <w:r>
                        <w:rPr>
                          <w:lang w:val="nl-NL"/>
                        </w:rPr>
                        <w:t xml:space="preserve">Andere gezaghebbende richtlijnen van het IIA kunt u vinden op onze websites: www.globaliia.org/standards-guidance en www.theiia.org/guidance. </w:t>
                      </w:r>
                    </w:p>
                    <w:p w:rsidR="00A16AFB" w:rsidRDefault="00A16AFB" w:rsidP="00A16AFB">
                      <w:pPr>
                        <w:pStyle w:val="BoilerplateHeadline"/>
                      </w:pPr>
                      <w:r>
                        <w:rPr>
                          <w:lang w:val="nl-NL"/>
                        </w:rPr>
                        <w:t>Disclaimer</w:t>
                      </w:r>
                    </w:p>
                    <w:p w:rsidR="00A16AFB" w:rsidRDefault="00A16AFB" w:rsidP="00A16AFB">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A16AFB" w:rsidRDefault="00A16AFB" w:rsidP="00A16AFB">
                      <w:pPr>
                        <w:pStyle w:val="BoilerplateHeadline"/>
                        <w:spacing w:after="60"/>
                      </w:pPr>
                      <w:r>
                        <w:rPr>
                          <w:lang w:val="nl-NL"/>
                        </w:rPr>
                        <w:t>Auteursrecht</w:t>
                      </w:r>
                    </w:p>
                    <w:p w:rsidR="00A16AFB" w:rsidRDefault="00A16AFB" w:rsidP="00A16AFB">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w:t>
                      </w:r>
                      <w:r w:rsidR="0036648B">
                        <w:rPr>
                          <w:i/>
                          <w:iCs/>
                          <w:lang w:val="nl-NL"/>
                        </w:rPr>
                        <w:t xml:space="preserve"> </w:t>
                      </w:r>
                      <w:r>
                        <w:rPr>
                          <w:lang w:val="nl-NL"/>
                        </w:rPr>
                        <w:t xml:space="preserve">Toestemming voor reproductie van deze publicatie kunt u per e-mail aanvragen via guidance@theiia.org. </w:t>
                      </w:r>
                    </w:p>
                    <w:p w:rsidR="00FA2DCB" w:rsidRPr="00261E16" w:rsidRDefault="004F3B57" w:rsidP="00F76278">
                      <w:pPr>
                        <w:pStyle w:val="BoilerplateBodyText"/>
                        <w:rPr>
                          <w:vanish/>
                        </w:rPr>
                      </w:pPr>
                    </w:p>
                  </w:txbxContent>
                </v:textbox>
                <w10:wrap type="square" anchorx="margin"/>
              </v:shape>
            </w:pict>
          </mc:Fallback>
        </mc:AlternateContent>
      </w:r>
    </w:p>
    <w:sectPr w:rsidR="006050F3" w:rsidRPr="008136AD" w:rsidSect="00893833">
      <w:headerReference w:type="even" r:id="rId8"/>
      <w:headerReference w:type="default" r:id="rId9"/>
      <w:footerReference w:type="default" r:id="rId10"/>
      <w:headerReference w:type="first" r:id="rId11"/>
      <w:footerReference w:type="first" r:id="rId12"/>
      <w:pgSz w:w="12240" w:h="15840"/>
      <w:pgMar w:top="1800" w:right="1080" w:bottom="189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EF5" w:rsidRDefault="00A16AFB">
      <w:r>
        <w:separator/>
      </w:r>
    </w:p>
  </w:endnote>
  <w:endnote w:type="continuationSeparator" w:id="0">
    <w:p w:rsidR="009C1EF5" w:rsidRDefault="00A1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DCB" w:rsidRPr="006227FD" w:rsidRDefault="00A16AFB"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4F3B57">
      <w:rPr>
        <w:rStyle w:val="Paginanummer"/>
        <w:noProof/>
        <w:color w:val="535953"/>
        <w:sz w:val="16"/>
        <w:szCs w:val="16"/>
      </w:rPr>
      <w:t>6</w:t>
    </w:r>
    <w:r w:rsidRPr="006227FD">
      <w:rPr>
        <w:rStyle w:val="Paginanummer"/>
        <w:color w:val="535953"/>
        <w:sz w:val="16"/>
        <w:szCs w:val="16"/>
      </w:rPr>
      <w:fldChar w:fldCharType="end"/>
    </w:r>
  </w:p>
  <w:p w:rsidR="00FA2DCB" w:rsidRDefault="004F3B5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DCB" w:rsidRPr="00893833" w:rsidRDefault="00A16AFB" w:rsidP="00893833">
    <w:pPr>
      <w:framePr w:wrap="around" w:vAnchor="text" w:hAnchor="page" w:x="6071" w:y="277"/>
      <w:rPr>
        <w:rStyle w:val="Paginanummer"/>
        <w:color w:val="535953"/>
        <w:sz w:val="16"/>
        <w:szCs w:val="16"/>
      </w:rPr>
    </w:pP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4F3B57">
      <w:rPr>
        <w:rStyle w:val="Paginanummer"/>
        <w:noProof/>
        <w:color w:val="535953"/>
        <w:sz w:val="16"/>
        <w:szCs w:val="16"/>
      </w:rPr>
      <w:t>1</w:t>
    </w:r>
    <w:r w:rsidRPr="00893833">
      <w:rPr>
        <w:rStyle w:val="Paginanummer"/>
        <w:color w:val="535953"/>
        <w:sz w:val="16"/>
        <w:szCs w:val="16"/>
      </w:rPr>
      <w:fldChar w:fldCharType="end"/>
    </w:r>
  </w:p>
  <w:p w:rsidR="00FA2DCB" w:rsidRDefault="004F3B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EF5" w:rsidRDefault="00A16AFB">
      <w:r>
        <w:separator/>
      </w:r>
    </w:p>
  </w:footnote>
  <w:footnote w:type="continuationSeparator" w:id="0">
    <w:p w:rsidR="009C1EF5" w:rsidRDefault="00A16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DCB" w:rsidRDefault="00A16AFB"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FA2DCB" w:rsidRDefault="004F3B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DCB" w:rsidRDefault="00A16AFB">
    <w:r>
      <w:rPr>
        <w:noProof/>
        <w:lang w:val="nl-NL" w:eastAsia="nl-NL"/>
      </w:rPr>
      <mc:AlternateContent>
        <mc:Choice Requires="wps">
          <w:drawing>
            <wp:anchor distT="0" distB="0" distL="114300" distR="114300" simplePos="0" relativeHeight="251657216"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FA2DCB" w:rsidRPr="006227FD" w:rsidRDefault="00A16AFB" w:rsidP="00F5772F">
                          <w:pPr>
                            <w:rPr>
                              <w:rFonts w:ascii="Arial" w:hAnsi="Arial" w:cs="Arial"/>
                              <w:color w:val="002239" w:themeColor="text2" w:themeShade="80"/>
                            </w:rPr>
                          </w:pPr>
                          <w:r>
                            <w:rPr>
                              <w:rFonts w:ascii="Arial" w:hAnsi="Arial" w:cs="Arial"/>
                              <w:color w:val="0F1F4B"/>
                              <w:lang w:val="nl-NL"/>
                            </w:rPr>
                            <w:t>Implementatierichtlijn 1210</w:t>
                          </w:r>
                          <w:r w:rsidR="0036648B">
                            <w:rPr>
                              <w:rFonts w:ascii="Arial" w:hAnsi="Arial" w:cs="Arial"/>
                              <w:color w:val="002239" w:themeColor="text2" w:themeShade="80"/>
                              <w:lang w:val="nl-NL"/>
                            </w:rPr>
                            <w:t xml:space="preserve"> </w:t>
                          </w:r>
                          <w:r w:rsidR="008136AD">
                            <w:rPr>
                              <w:rFonts w:ascii="Arial" w:hAnsi="Arial" w:cs="Arial"/>
                              <w:color w:val="002239" w:themeColor="text2" w:themeShade="80"/>
                              <w:lang w:val="nl-NL"/>
                            </w:rPr>
                            <w:t xml:space="preserve">- </w:t>
                          </w:r>
                          <w:r>
                            <w:rPr>
                              <w:rFonts w:ascii="Arial" w:hAnsi="Arial" w:cs="Arial"/>
                              <w:color w:val="535953"/>
                              <w:lang w:val="nl-NL"/>
                            </w:rPr>
                            <w:t>Vakbekwaamheid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FA2DCB" w:rsidRPr="006227FD" w:rsidRDefault="00A16AFB" w:rsidP="00F5772F">
                    <w:pPr>
                      <w:rPr>
                        <w:rFonts w:ascii="Arial" w:hAnsi="Arial" w:cs="Arial"/>
                        <w:color w:val="002239" w:themeColor="text2" w:themeShade="80"/>
                      </w:rPr>
                    </w:pPr>
                    <w:r>
                      <w:rPr>
                        <w:rFonts w:ascii="Arial" w:hAnsi="Arial" w:cs="Arial"/>
                        <w:color w:val="0F1F4B"/>
                        <w:lang w:val="nl-NL"/>
                      </w:rPr>
                      <w:t>Implementatierichtlijn 1210</w:t>
                    </w:r>
                    <w:r w:rsidR="0036648B">
                      <w:rPr>
                        <w:rFonts w:ascii="Arial" w:hAnsi="Arial" w:cs="Arial"/>
                        <w:color w:val="002239" w:themeColor="text2" w:themeShade="80"/>
                        <w:lang w:val="nl-NL"/>
                      </w:rPr>
                      <w:t xml:space="preserve"> </w:t>
                    </w:r>
                    <w:r w:rsidR="008136AD">
                      <w:rPr>
                        <w:rFonts w:ascii="Arial" w:hAnsi="Arial" w:cs="Arial"/>
                        <w:color w:val="002239" w:themeColor="text2" w:themeShade="80"/>
                        <w:lang w:val="nl-NL"/>
                      </w:rPr>
                      <w:t xml:space="preserve">- </w:t>
                    </w:r>
                    <w:r>
                      <w:rPr>
                        <w:rFonts w:ascii="Arial" w:hAnsi="Arial" w:cs="Arial"/>
                        <w:color w:val="535953"/>
                        <w:lang w:val="nl-NL"/>
                      </w:rPr>
                      <w:t>Vakbekwaamheid</w:t>
                    </w:r>
                  </w:p>
                </w:txbxContent>
              </v:textbox>
              <w10:wrap type="through" anchorx="page" anchory="page"/>
            </v:shape>
          </w:pict>
        </mc:Fallback>
      </mc:AlternateContent>
    </w:r>
    <w:r>
      <w:rPr>
        <w:noProof/>
        <w:lang w:val="nl-NL" w:eastAsia="nl-NL"/>
      </w:rPr>
      <w:drawing>
        <wp:anchor distT="0" distB="0" distL="114300" distR="114300" simplePos="0" relativeHeight="251656192" behindDoc="1" locked="0" layoutInCell="1" allowOverlap="1">
          <wp:simplePos x="0" y="0"/>
          <wp:positionH relativeFrom="page">
            <wp:align>right</wp:align>
          </wp:positionH>
          <wp:positionV relativeFrom="page">
            <wp:align>top</wp:align>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DCB" w:rsidRDefault="00A16AFB">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4002"/>
    <w:multiLevelType w:val="hybridMultilevel"/>
    <w:tmpl w:val="A6B04B5C"/>
    <w:lvl w:ilvl="0" w:tplc="9196963C">
      <w:start w:val="1"/>
      <w:numFmt w:val="upperRoman"/>
      <w:lvlText w:val="%1."/>
      <w:lvlJc w:val="right"/>
      <w:pPr>
        <w:ind w:left="720" w:hanging="360"/>
      </w:pPr>
    </w:lvl>
    <w:lvl w:ilvl="1" w:tplc="EB3A9184" w:tentative="1">
      <w:start w:val="1"/>
      <w:numFmt w:val="lowerLetter"/>
      <w:lvlText w:val="%2."/>
      <w:lvlJc w:val="left"/>
      <w:pPr>
        <w:ind w:left="1440" w:hanging="360"/>
      </w:pPr>
    </w:lvl>
    <w:lvl w:ilvl="2" w:tplc="E9841C90" w:tentative="1">
      <w:start w:val="1"/>
      <w:numFmt w:val="lowerRoman"/>
      <w:lvlText w:val="%3."/>
      <w:lvlJc w:val="right"/>
      <w:pPr>
        <w:ind w:left="2160" w:hanging="180"/>
      </w:pPr>
    </w:lvl>
    <w:lvl w:ilvl="3" w:tplc="205E3072" w:tentative="1">
      <w:start w:val="1"/>
      <w:numFmt w:val="decimal"/>
      <w:lvlText w:val="%4."/>
      <w:lvlJc w:val="left"/>
      <w:pPr>
        <w:ind w:left="2880" w:hanging="360"/>
      </w:pPr>
    </w:lvl>
    <w:lvl w:ilvl="4" w:tplc="CD747A6E" w:tentative="1">
      <w:start w:val="1"/>
      <w:numFmt w:val="lowerLetter"/>
      <w:lvlText w:val="%5."/>
      <w:lvlJc w:val="left"/>
      <w:pPr>
        <w:ind w:left="3600" w:hanging="360"/>
      </w:pPr>
    </w:lvl>
    <w:lvl w:ilvl="5" w:tplc="46242BBC" w:tentative="1">
      <w:start w:val="1"/>
      <w:numFmt w:val="lowerRoman"/>
      <w:lvlText w:val="%6."/>
      <w:lvlJc w:val="right"/>
      <w:pPr>
        <w:ind w:left="4320" w:hanging="180"/>
      </w:pPr>
    </w:lvl>
    <w:lvl w:ilvl="6" w:tplc="30BE39A2" w:tentative="1">
      <w:start w:val="1"/>
      <w:numFmt w:val="decimal"/>
      <w:lvlText w:val="%7."/>
      <w:lvlJc w:val="left"/>
      <w:pPr>
        <w:ind w:left="5040" w:hanging="360"/>
      </w:pPr>
    </w:lvl>
    <w:lvl w:ilvl="7" w:tplc="5726D736" w:tentative="1">
      <w:start w:val="1"/>
      <w:numFmt w:val="lowerLetter"/>
      <w:lvlText w:val="%8."/>
      <w:lvlJc w:val="left"/>
      <w:pPr>
        <w:ind w:left="5760" w:hanging="360"/>
      </w:pPr>
    </w:lvl>
    <w:lvl w:ilvl="8" w:tplc="B5A28DE6" w:tentative="1">
      <w:start w:val="1"/>
      <w:numFmt w:val="lowerRoman"/>
      <w:lvlText w:val="%9."/>
      <w:lvlJc w:val="right"/>
      <w:pPr>
        <w:ind w:left="6480" w:hanging="180"/>
      </w:pPr>
    </w:lvl>
  </w:abstractNum>
  <w:abstractNum w:abstractNumId="1" w15:restartNumberingAfterBreak="0">
    <w:nsid w:val="0AAF0A42"/>
    <w:multiLevelType w:val="hybridMultilevel"/>
    <w:tmpl w:val="75FA64F4"/>
    <w:lvl w:ilvl="0" w:tplc="ABCE69A0">
      <w:start w:val="1"/>
      <w:numFmt w:val="bullet"/>
      <w:lvlText w:val=""/>
      <w:lvlJc w:val="left"/>
      <w:pPr>
        <w:ind w:left="720" w:hanging="360"/>
      </w:pPr>
      <w:rPr>
        <w:rFonts w:ascii="Symbol" w:hAnsi="Symbol" w:hint="default"/>
      </w:rPr>
    </w:lvl>
    <w:lvl w:ilvl="1" w:tplc="7CC4FC18">
      <w:start w:val="1"/>
      <w:numFmt w:val="bullet"/>
      <w:lvlText w:val="o"/>
      <w:lvlJc w:val="left"/>
      <w:pPr>
        <w:ind w:left="1440" w:hanging="360"/>
      </w:pPr>
      <w:rPr>
        <w:rFonts w:ascii="Courier New" w:hAnsi="Courier New" w:cs="Courier New" w:hint="default"/>
      </w:rPr>
    </w:lvl>
    <w:lvl w:ilvl="2" w:tplc="C8C26B2E" w:tentative="1">
      <w:start w:val="1"/>
      <w:numFmt w:val="bullet"/>
      <w:lvlText w:val=""/>
      <w:lvlJc w:val="left"/>
      <w:pPr>
        <w:ind w:left="2160" w:hanging="360"/>
      </w:pPr>
      <w:rPr>
        <w:rFonts w:ascii="Wingdings" w:hAnsi="Wingdings" w:hint="default"/>
      </w:rPr>
    </w:lvl>
    <w:lvl w:ilvl="3" w:tplc="21FE7658" w:tentative="1">
      <w:start w:val="1"/>
      <w:numFmt w:val="bullet"/>
      <w:lvlText w:val=""/>
      <w:lvlJc w:val="left"/>
      <w:pPr>
        <w:ind w:left="2880" w:hanging="360"/>
      </w:pPr>
      <w:rPr>
        <w:rFonts w:ascii="Symbol" w:hAnsi="Symbol" w:hint="default"/>
      </w:rPr>
    </w:lvl>
    <w:lvl w:ilvl="4" w:tplc="A798E05C" w:tentative="1">
      <w:start w:val="1"/>
      <w:numFmt w:val="bullet"/>
      <w:lvlText w:val="o"/>
      <w:lvlJc w:val="left"/>
      <w:pPr>
        <w:ind w:left="3600" w:hanging="360"/>
      </w:pPr>
      <w:rPr>
        <w:rFonts w:ascii="Courier New" w:hAnsi="Courier New" w:cs="Courier New" w:hint="default"/>
      </w:rPr>
    </w:lvl>
    <w:lvl w:ilvl="5" w:tplc="C12A0612" w:tentative="1">
      <w:start w:val="1"/>
      <w:numFmt w:val="bullet"/>
      <w:lvlText w:val=""/>
      <w:lvlJc w:val="left"/>
      <w:pPr>
        <w:ind w:left="4320" w:hanging="360"/>
      </w:pPr>
      <w:rPr>
        <w:rFonts w:ascii="Wingdings" w:hAnsi="Wingdings" w:hint="default"/>
      </w:rPr>
    </w:lvl>
    <w:lvl w:ilvl="6" w:tplc="5CDCCF5E" w:tentative="1">
      <w:start w:val="1"/>
      <w:numFmt w:val="bullet"/>
      <w:lvlText w:val=""/>
      <w:lvlJc w:val="left"/>
      <w:pPr>
        <w:ind w:left="5040" w:hanging="360"/>
      </w:pPr>
      <w:rPr>
        <w:rFonts w:ascii="Symbol" w:hAnsi="Symbol" w:hint="default"/>
      </w:rPr>
    </w:lvl>
    <w:lvl w:ilvl="7" w:tplc="CF2C8BD8" w:tentative="1">
      <w:start w:val="1"/>
      <w:numFmt w:val="bullet"/>
      <w:lvlText w:val="o"/>
      <w:lvlJc w:val="left"/>
      <w:pPr>
        <w:ind w:left="5760" w:hanging="360"/>
      </w:pPr>
      <w:rPr>
        <w:rFonts w:ascii="Courier New" w:hAnsi="Courier New" w:cs="Courier New" w:hint="default"/>
      </w:rPr>
    </w:lvl>
    <w:lvl w:ilvl="8" w:tplc="51A804F0" w:tentative="1">
      <w:start w:val="1"/>
      <w:numFmt w:val="bullet"/>
      <w:lvlText w:val=""/>
      <w:lvlJc w:val="left"/>
      <w:pPr>
        <w:ind w:left="6480" w:hanging="360"/>
      </w:pPr>
      <w:rPr>
        <w:rFonts w:ascii="Wingdings" w:hAnsi="Wingdings" w:hint="default"/>
      </w:rPr>
    </w:lvl>
  </w:abstractNum>
  <w:abstractNum w:abstractNumId="2" w15:restartNumberingAfterBreak="0">
    <w:nsid w:val="1D4A6306"/>
    <w:multiLevelType w:val="hybridMultilevel"/>
    <w:tmpl w:val="36D85A0C"/>
    <w:lvl w:ilvl="0" w:tplc="7F3EDBA6">
      <w:start w:val="1"/>
      <w:numFmt w:val="bullet"/>
      <w:lvlText w:val=""/>
      <w:lvlJc w:val="left"/>
      <w:pPr>
        <w:ind w:left="990" w:hanging="360"/>
      </w:pPr>
      <w:rPr>
        <w:rFonts w:ascii="Symbol" w:hAnsi="Symbol" w:hint="default"/>
        <w:color w:val="D32E30" w:themeColor="accent2"/>
      </w:rPr>
    </w:lvl>
    <w:lvl w:ilvl="1" w:tplc="3140EF14" w:tentative="1">
      <w:start w:val="1"/>
      <w:numFmt w:val="bullet"/>
      <w:lvlText w:val="o"/>
      <w:lvlJc w:val="left"/>
      <w:pPr>
        <w:ind w:left="1710" w:hanging="360"/>
      </w:pPr>
      <w:rPr>
        <w:rFonts w:ascii="Courier New" w:hAnsi="Courier New" w:hint="default"/>
      </w:rPr>
    </w:lvl>
    <w:lvl w:ilvl="2" w:tplc="8FD2D2FC" w:tentative="1">
      <w:start w:val="1"/>
      <w:numFmt w:val="bullet"/>
      <w:lvlText w:val=""/>
      <w:lvlJc w:val="left"/>
      <w:pPr>
        <w:ind w:left="2430" w:hanging="360"/>
      </w:pPr>
      <w:rPr>
        <w:rFonts w:ascii="Wingdings" w:hAnsi="Wingdings" w:hint="default"/>
      </w:rPr>
    </w:lvl>
    <w:lvl w:ilvl="3" w:tplc="A88ED074" w:tentative="1">
      <w:start w:val="1"/>
      <w:numFmt w:val="bullet"/>
      <w:lvlText w:val=""/>
      <w:lvlJc w:val="left"/>
      <w:pPr>
        <w:ind w:left="3150" w:hanging="360"/>
      </w:pPr>
      <w:rPr>
        <w:rFonts w:ascii="Symbol" w:hAnsi="Symbol" w:hint="default"/>
      </w:rPr>
    </w:lvl>
    <w:lvl w:ilvl="4" w:tplc="697A0C88" w:tentative="1">
      <w:start w:val="1"/>
      <w:numFmt w:val="bullet"/>
      <w:lvlText w:val="o"/>
      <w:lvlJc w:val="left"/>
      <w:pPr>
        <w:ind w:left="3870" w:hanging="360"/>
      </w:pPr>
      <w:rPr>
        <w:rFonts w:ascii="Courier New" w:hAnsi="Courier New" w:hint="default"/>
      </w:rPr>
    </w:lvl>
    <w:lvl w:ilvl="5" w:tplc="31D6350C" w:tentative="1">
      <w:start w:val="1"/>
      <w:numFmt w:val="bullet"/>
      <w:lvlText w:val=""/>
      <w:lvlJc w:val="left"/>
      <w:pPr>
        <w:ind w:left="4590" w:hanging="360"/>
      </w:pPr>
      <w:rPr>
        <w:rFonts w:ascii="Wingdings" w:hAnsi="Wingdings" w:hint="default"/>
      </w:rPr>
    </w:lvl>
    <w:lvl w:ilvl="6" w:tplc="58623148" w:tentative="1">
      <w:start w:val="1"/>
      <w:numFmt w:val="bullet"/>
      <w:lvlText w:val=""/>
      <w:lvlJc w:val="left"/>
      <w:pPr>
        <w:ind w:left="5310" w:hanging="360"/>
      </w:pPr>
      <w:rPr>
        <w:rFonts w:ascii="Symbol" w:hAnsi="Symbol" w:hint="default"/>
      </w:rPr>
    </w:lvl>
    <w:lvl w:ilvl="7" w:tplc="FE86E1D6" w:tentative="1">
      <w:start w:val="1"/>
      <w:numFmt w:val="bullet"/>
      <w:lvlText w:val="o"/>
      <w:lvlJc w:val="left"/>
      <w:pPr>
        <w:ind w:left="6030" w:hanging="360"/>
      </w:pPr>
      <w:rPr>
        <w:rFonts w:ascii="Courier New" w:hAnsi="Courier New" w:hint="default"/>
      </w:rPr>
    </w:lvl>
    <w:lvl w:ilvl="8" w:tplc="7AD4873C"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6562C212">
      <w:start w:val="1"/>
      <w:numFmt w:val="bullet"/>
      <w:pStyle w:val="RedBullets"/>
      <w:lvlText w:val=""/>
      <w:lvlJc w:val="left"/>
      <w:pPr>
        <w:ind w:left="994" w:hanging="360"/>
      </w:pPr>
      <w:rPr>
        <w:rFonts w:ascii="Symbol" w:hAnsi="Symbol" w:hint="default"/>
        <w:color w:val="D32E30" w:themeColor="accent2"/>
      </w:rPr>
    </w:lvl>
    <w:lvl w:ilvl="1" w:tplc="DC7C2064">
      <w:start w:val="1"/>
      <w:numFmt w:val="bullet"/>
      <w:lvlText w:val="o"/>
      <w:lvlJc w:val="left"/>
      <w:pPr>
        <w:ind w:left="1714" w:hanging="360"/>
      </w:pPr>
      <w:rPr>
        <w:rFonts w:ascii="Courier New" w:hAnsi="Courier New" w:hint="default"/>
      </w:rPr>
    </w:lvl>
    <w:lvl w:ilvl="2" w:tplc="0BC4C944" w:tentative="1">
      <w:start w:val="1"/>
      <w:numFmt w:val="bullet"/>
      <w:lvlText w:val=""/>
      <w:lvlJc w:val="left"/>
      <w:pPr>
        <w:ind w:left="2434" w:hanging="360"/>
      </w:pPr>
      <w:rPr>
        <w:rFonts w:ascii="Wingdings" w:hAnsi="Wingdings" w:hint="default"/>
      </w:rPr>
    </w:lvl>
    <w:lvl w:ilvl="3" w:tplc="BF8E5A04" w:tentative="1">
      <w:start w:val="1"/>
      <w:numFmt w:val="bullet"/>
      <w:lvlText w:val=""/>
      <w:lvlJc w:val="left"/>
      <w:pPr>
        <w:ind w:left="3154" w:hanging="360"/>
      </w:pPr>
      <w:rPr>
        <w:rFonts w:ascii="Symbol" w:hAnsi="Symbol" w:hint="default"/>
      </w:rPr>
    </w:lvl>
    <w:lvl w:ilvl="4" w:tplc="B84EFBB8" w:tentative="1">
      <w:start w:val="1"/>
      <w:numFmt w:val="bullet"/>
      <w:lvlText w:val="o"/>
      <w:lvlJc w:val="left"/>
      <w:pPr>
        <w:ind w:left="3874" w:hanging="360"/>
      </w:pPr>
      <w:rPr>
        <w:rFonts w:ascii="Courier New" w:hAnsi="Courier New" w:hint="default"/>
      </w:rPr>
    </w:lvl>
    <w:lvl w:ilvl="5" w:tplc="7B0E3DF4" w:tentative="1">
      <w:start w:val="1"/>
      <w:numFmt w:val="bullet"/>
      <w:lvlText w:val=""/>
      <w:lvlJc w:val="left"/>
      <w:pPr>
        <w:ind w:left="4594" w:hanging="360"/>
      </w:pPr>
      <w:rPr>
        <w:rFonts w:ascii="Wingdings" w:hAnsi="Wingdings" w:hint="default"/>
      </w:rPr>
    </w:lvl>
    <w:lvl w:ilvl="6" w:tplc="180A9E42" w:tentative="1">
      <w:start w:val="1"/>
      <w:numFmt w:val="bullet"/>
      <w:lvlText w:val=""/>
      <w:lvlJc w:val="left"/>
      <w:pPr>
        <w:ind w:left="5314" w:hanging="360"/>
      </w:pPr>
      <w:rPr>
        <w:rFonts w:ascii="Symbol" w:hAnsi="Symbol" w:hint="default"/>
      </w:rPr>
    </w:lvl>
    <w:lvl w:ilvl="7" w:tplc="C9E84F8E" w:tentative="1">
      <w:start w:val="1"/>
      <w:numFmt w:val="bullet"/>
      <w:lvlText w:val="o"/>
      <w:lvlJc w:val="left"/>
      <w:pPr>
        <w:ind w:left="6034" w:hanging="360"/>
      </w:pPr>
      <w:rPr>
        <w:rFonts w:ascii="Courier New" w:hAnsi="Courier New" w:hint="default"/>
      </w:rPr>
    </w:lvl>
    <w:lvl w:ilvl="8" w:tplc="7F985404"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05608A9E">
      <w:start w:val="1"/>
      <w:numFmt w:val="bullet"/>
      <w:lvlText w:val=""/>
      <w:lvlJc w:val="left"/>
      <w:pPr>
        <w:ind w:left="720" w:hanging="360"/>
      </w:pPr>
      <w:rPr>
        <w:rFonts w:ascii="Symbol" w:hAnsi="Symbol" w:hint="default"/>
        <w:color w:val="D32E30" w:themeColor="accent2"/>
      </w:rPr>
    </w:lvl>
    <w:lvl w:ilvl="1" w:tplc="78641C82" w:tentative="1">
      <w:start w:val="1"/>
      <w:numFmt w:val="bullet"/>
      <w:lvlText w:val="o"/>
      <w:lvlJc w:val="left"/>
      <w:pPr>
        <w:ind w:left="1170" w:hanging="360"/>
      </w:pPr>
      <w:rPr>
        <w:rFonts w:ascii="Courier New" w:hAnsi="Courier New" w:hint="default"/>
      </w:rPr>
    </w:lvl>
    <w:lvl w:ilvl="2" w:tplc="F00EF300" w:tentative="1">
      <w:start w:val="1"/>
      <w:numFmt w:val="bullet"/>
      <w:lvlText w:val=""/>
      <w:lvlJc w:val="left"/>
      <w:pPr>
        <w:ind w:left="1890" w:hanging="360"/>
      </w:pPr>
      <w:rPr>
        <w:rFonts w:ascii="Wingdings" w:hAnsi="Wingdings" w:hint="default"/>
      </w:rPr>
    </w:lvl>
    <w:lvl w:ilvl="3" w:tplc="F3C2E8DE" w:tentative="1">
      <w:start w:val="1"/>
      <w:numFmt w:val="bullet"/>
      <w:lvlText w:val=""/>
      <w:lvlJc w:val="left"/>
      <w:pPr>
        <w:ind w:left="2610" w:hanging="360"/>
      </w:pPr>
      <w:rPr>
        <w:rFonts w:ascii="Symbol" w:hAnsi="Symbol" w:hint="default"/>
      </w:rPr>
    </w:lvl>
    <w:lvl w:ilvl="4" w:tplc="4438657A" w:tentative="1">
      <w:start w:val="1"/>
      <w:numFmt w:val="bullet"/>
      <w:lvlText w:val="o"/>
      <w:lvlJc w:val="left"/>
      <w:pPr>
        <w:ind w:left="3330" w:hanging="360"/>
      </w:pPr>
      <w:rPr>
        <w:rFonts w:ascii="Courier New" w:hAnsi="Courier New" w:hint="default"/>
      </w:rPr>
    </w:lvl>
    <w:lvl w:ilvl="5" w:tplc="4E28BF5A" w:tentative="1">
      <w:start w:val="1"/>
      <w:numFmt w:val="bullet"/>
      <w:lvlText w:val=""/>
      <w:lvlJc w:val="left"/>
      <w:pPr>
        <w:ind w:left="4050" w:hanging="360"/>
      </w:pPr>
      <w:rPr>
        <w:rFonts w:ascii="Wingdings" w:hAnsi="Wingdings" w:hint="default"/>
      </w:rPr>
    </w:lvl>
    <w:lvl w:ilvl="6" w:tplc="61765366" w:tentative="1">
      <w:start w:val="1"/>
      <w:numFmt w:val="bullet"/>
      <w:lvlText w:val=""/>
      <w:lvlJc w:val="left"/>
      <w:pPr>
        <w:ind w:left="4770" w:hanging="360"/>
      </w:pPr>
      <w:rPr>
        <w:rFonts w:ascii="Symbol" w:hAnsi="Symbol" w:hint="default"/>
      </w:rPr>
    </w:lvl>
    <w:lvl w:ilvl="7" w:tplc="D50A980E" w:tentative="1">
      <w:start w:val="1"/>
      <w:numFmt w:val="bullet"/>
      <w:lvlText w:val="o"/>
      <w:lvlJc w:val="left"/>
      <w:pPr>
        <w:ind w:left="5490" w:hanging="360"/>
      </w:pPr>
      <w:rPr>
        <w:rFonts w:ascii="Courier New" w:hAnsi="Courier New" w:hint="default"/>
      </w:rPr>
    </w:lvl>
    <w:lvl w:ilvl="8" w:tplc="DDEE9D7A" w:tentative="1">
      <w:start w:val="1"/>
      <w:numFmt w:val="bullet"/>
      <w:lvlText w:val=""/>
      <w:lvlJc w:val="left"/>
      <w:pPr>
        <w:ind w:left="6210" w:hanging="360"/>
      </w:pPr>
      <w:rPr>
        <w:rFonts w:ascii="Wingdings" w:hAnsi="Wingdings" w:hint="default"/>
      </w:rPr>
    </w:lvl>
  </w:abstractNum>
  <w:abstractNum w:abstractNumId="5" w15:restartNumberingAfterBreak="0">
    <w:nsid w:val="399D7994"/>
    <w:multiLevelType w:val="hybridMultilevel"/>
    <w:tmpl w:val="DAACA65A"/>
    <w:lvl w:ilvl="0" w:tplc="57D4DABA">
      <w:start w:val="1"/>
      <w:numFmt w:val="decimal"/>
      <w:lvlText w:val="%1."/>
      <w:lvlJc w:val="left"/>
      <w:pPr>
        <w:ind w:left="720" w:hanging="360"/>
      </w:pPr>
    </w:lvl>
    <w:lvl w:ilvl="1" w:tplc="D074AC30" w:tentative="1">
      <w:start w:val="1"/>
      <w:numFmt w:val="lowerLetter"/>
      <w:lvlText w:val="%2."/>
      <w:lvlJc w:val="left"/>
      <w:pPr>
        <w:ind w:left="1440" w:hanging="360"/>
      </w:pPr>
    </w:lvl>
    <w:lvl w:ilvl="2" w:tplc="2A0A0676" w:tentative="1">
      <w:start w:val="1"/>
      <w:numFmt w:val="lowerRoman"/>
      <w:lvlText w:val="%3."/>
      <w:lvlJc w:val="right"/>
      <w:pPr>
        <w:ind w:left="2160" w:hanging="180"/>
      </w:pPr>
    </w:lvl>
    <w:lvl w:ilvl="3" w:tplc="61961B18" w:tentative="1">
      <w:start w:val="1"/>
      <w:numFmt w:val="decimal"/>
      <w:lvlText w:val="%4."/>
      <w:lvlJc w:val="left"/>
      <w:pPr>
        <w:ind w:left="2880" w:hanging="360"/>
      </w:pPr>
    </w:lvl>
    <w:lvl w:ilvl="4" w:tplc="D92616C4" w:tentative="1">
      <w:start w:val="1"/>
      <w:numFmt w:val="lowerLetter"/>
      <w:lvlText w:val="%5."/>
      <w:lvlJc w:val="left"/>
      <w:pPr>
        <w:ind w:left="3600" w:hanging="360"/>
      </w:pPr>
    </w:lvl>
    <w:lvl w:ilvl="5" w:tplc="C3DC518A" w:tentative="1">
      <w:start w:val="1"/>
      <w:numFmt w:val="lowerRoman"/>
      <w:lvlText w:val="%6."/>
      <w:lvlJc w:val="right"/>
      <w:pPr>
        <w:ind w:left="4320" w:hanging="180"/>
      </w:pPr>
    </w:lvl>
    <w:lvl w:ilvl="6" w:tplc="90F482A0" w:tentative="1">
      <w:start w:val="1"/>
      <w:numFmt w:val="decimal"/>
      <w:lvlText w:val="%7."/>
      <w:lvlJc w:val="left"/>
      <w:pPr>
        <w:ind w:left="5040" w:hanging="360"/>
      </w:pPr>
    </w:lvl>
    <w:lvl w:ilvl="7" w:tplc="A15021A6" w:tentative="1">
      <w:start w:val="1"/>
      <w:numFmt w:val="lowerLetter"/>
      <w:lvlText w:val="%8."/>
      <w:lvlJc w:val="left"/>
      <w:pPr>
        <w:ind w:left="5760" w:hanging="360"/>
      </w:pPr>
    </w:lvl>
    <w:lvl w:ilvl="8" w:tplc="3EE67CA6" w:tentative="1">
      <w:start w:val="1"/>
      <w:numFmt w:val="lowerRoman"/>
      <w:lvlText w:val="%9."/>
      <w:lvlJc w:val="right"/>
      <w:pPr>
        <w:ind w:left="6480" w:hanging="180"/>
      </w:pPr>
    </w:lvl>
  </w:abstractNum>
  <w:abstractNum w:abstractNumId="6" w15:restartNumberingAfterBreak="0">
    <w:nsid w:val="3A2C681B"/>
    <w:multiLevelType w:val="hybridMultilevel"/>
    <w:tmpl w:val="52C01BB6"/>
    <w:lvl w:ilvl="0" w:tplc="21B2F4CA">
      <w:start w:val="1"/>
      <w:numFmt w:val="decimal"/>
      <w:lvlText w:val="%1."/>
      <w:lvlJc w:val="left"/>
      <w:pPr>
        <w:ind w:left="720" w:hanging="360"/>
      </w:pPr>
    </w:lvl>
    <w:lvl w:ilvl="1" w:tplc="9A5C69FC" w:tentative="1">
      <w:start w:val="1"/>
      <w:numFmt w:val="lowerLetter"/>
      <w:lvlText w:val="%2."/>
      <w:lvlJc w:val="left"/>
      <w:pPr>
        <w:ind w:left="1440" w:hanging="360"/>
      </w:pPr>
    </w:lvl>
    <w:lvl w:ilvl="2" w:tplc="6772F7FA" w:tentative="1">
      <w:start w:val="1"/>
      <w:numFmt w:val="lowerRoman"/>
      <w:lvlText w:val="%3."/>
      <w:lvlJc w:val="right"/>
      <w:pPr>
        <w:ind w:left="2160" w:hanging="180"/>
      </w:pPr>
    </w:lvl>
    <w:lvl w:ilvl="3" w:tplc="FCCE329C" w:tentative="1">
      <w:start w:val="1"/>
      <w:numFmt w:val="decimal"/>
      <w:lvlText w:val="%4."/>
      <w:lvlJc w:val="left"/>
      <w:pPr>
        <w:ind w:left="2880" w:hanging="360"/>
      </w:pPr>
    </w:lvl>
    <w:lvl w:ilvl="4" w:tplc="E0D86656" w:tentative="1">
      <w:start w:val="1"/>
      <w:numFmt w:val="lowerLetter"/>
      <w:lvlText w:val="%5."/>
      <w:lvlJc w:val="left"/>
      <w:pPr>
        <w:ind w:left="3600" w:hanging="360"/>
      </w:pPr>
    </w:lvl>
    <w:lvl w:ilvl="5" w:tplc="68003E82" w:tentative="1">
      <w:start w:val="1"/>
      <w:numFmt w:val="lowerRoman"/>
      <w:lvlText w:val="%6."/>
      <w:lvlJc w:val="right"/>
      <w:pPr>
        <w:ind w:left="4320" w:hanging="180"/>
      </w:pPr>
    </w:lvl>
    <w:lvl w:ilvl="6" w:tplc="63925232" w:tentative="1">
      <w:start w:val="1"/>
      <w:numFmt w:val="decimal"/>
      <w:lvlText w:val="%7."/>
      <w:lvlJc w:val="left"/>
      <w:pPr>
        <w:ind w:left="5040" w:hanging="360"/>
      </w:pPr>
    </w:lvl>
    <w:lvl w:ilvl="7" w:tplc="DFB83760" w:tentative="1">
      <w:start w:val="1"/>
      <w:numFmt w:val="lowerLetter"/>
      <w:lvlText w:val="%8."/>
      <w:lvlJc w:val="left"/>
      <w:pPr>
        <w:ind w:left="5760" w:hanging="360"/>
      </w:pPr>
    </w:lvl>
    <w:lvl w:ilvl="8" w:tplc="B12A4E72" w:tentative="1">
      <w:start w:val="1"/>
      <w:numFmt w:val="lowerRoman"/>
      <w:lvlText w:val="%9."/>
      <w:lvlJc w:val="right"/>
      <w:pPr>
        <w:ind w:left="6480" w:hanging="180"/>
      </w:pPr>
    </w:lvl>
  </w:abstractNum>
  <w:abstractNum w:abstractNumId="7" w15:restartNumberingAfterBreak="0">
    <w:nsid w:val="3BC35BEC"/>
    <w:multiLevelType w:val="hybridMultilevel"/>
    <w:tmpl w:val="831E9F46"/>
    <w:lvl w:ilvl="0" w:tplc="FD0A17D8">
      <w:start w:val="1"/>
      <w:numFmt w:val="bullet"/>
      <w:lvlText w:val=""/>
      <w:lvlJc w:val="left"/>
      <w:pPr>
        <w:ind w:left="720" w:hanging="360"/>
      </w:pPr>
      <w:rPr>
        <w:rFonts w:ascii="Symbol" w:hAnsi="Symbol" w:hint="default"/>
      </w:rPr>
    </w:lvl>
    <w:lvl w:ilvl="1" w:tplc="F9C8FA58" w:tentative="1">
      <w:start w:val="1"/>
      <w:numFmt w:val="bullet"/>
      <w:lvlText w:val="o"/>
      <w:lvlJc w:val="left"/>
      <w:pPr>
        <w:ind w:left="1440" w:hanging="360"/>
      </w:pPr>
      <w:rPr>
        <w:rFonts w:ascii="Courier New" w:hAnsi="Courier New" w:cs="Courier New" w:hint="default"/>
      </w:rPr>
    </w:lvl>
    <w:lvl w:ilvl="2" w:tplc="87C8ABF4" w:tentative="1">
      <w:start w:val="1"/>
      <w:numFmt w:val="bullet"/>
      <w:lvlText w:val=""/>
      <w:lvlJc w:val="left"/>
      <w:pPr>
        <w:ind w:left="2160" w:hanging="360"/>
      </w:pPr>
      <w:rPr>
        <w:rFonts w:ascii="Wingdings" w:hAnsi="Wingdings" w:hint="default"/>
      </w:rPr>
    </w:lvl>
    <w:lvl w:ilvl="3" w:tplc="1C847750" w:tentative="1">
      <w:start w:val="1"/>
      <w:numFmt w:val="bullet"/>
      <w:lvlText w:val=""/>
      <w:lvlJc w:val="left"/>
      <w:pPr>
        <w:ind w:left="2880" w:hanging="360"/>
      </w:pPr>
      <w:rPr>
        <w:rFonts w:ascii="Symbol" w:hAnsi="Symbol" w:hint="default"/>
      </w:rPr>
    </w:lvl>
    <w:lvl w:ilvl="4" w:tplc="BE741FD0" w:tentative="1">
      <w:start w:val="1"/>
      <w:numFmt w:val="bullet"/>
      <w:lvlText w:val="o"/>
      <w:lvlJc w:val="left"/>
      <w:pPr>
        <w:ind w:left="3600" w:hanging="360"/>
      </w:pPr>
      <w:rPr>
        <w:rFonts w:ascii="Courier New" w:hAnsi="Courier New" w:cs="Courier New" w:hint="default"/>
      </w:rPr>
    </w:lvl>
    <w:lvl w:ilvl="5" w:tplc="CC7E8712" w:tentative="1">
      <w:start w:val="1"/>
      <w:numFmt w:val="bullet"/>
      <w:lvlText w:val=""/>
      <w:lvlJc w:val="left"/>
      <w:pPr>
        <w:ind w:left="4320" w:hanging="360"/>
      </w:pPr>
      <w:rPr>
        <w:rFonts w:ascii="Wingdings" w:hAnsi="Wingdings" w:hint="default"/>
      </w:rPr>
    </w:lvl>
    <w:lvl w:ilvl="6" w:tplc="52EEFE92" w:tentative="1">
      <w:start w:val="1"/>
      <w:numFmt w:val="bullet"/>
      <w:lvlText w:val=""/>
      <w:lvlJc w:val="left"/>
      <w:pPr>
        <w:ind w:left="5040" w:hanging="360"/>
      </w:pPr>
      <w:rPr>
        <w:rFonts w:ascii="Symbol" w:hAnsi="Symbol" w:hint="default"/>
      </w:rPr>
    </w:lvl>
    <w:lvl w:ilvl="7" w:tplc="B4107546" w:tentative="1">
      <w:start w:val="1"/>
      <w:numFmt w:val="bullet"/>
      <w:lvlText w:val="o"/>
      <w:lvlJc w:val="left"/>
      <w:pPr>
        <w:ind w:left="5760" w:hanging="360"/>
      </w:pPr>
      <w:rPr>
        <w:rFonts w:ascii="Courier New" w:hAnsi="Courier New" w:cs="Courier New" w:hint="default"/>
      </w:rPr>
    </w:lvl>
    <w:lvl w:ilvl="8" w:tplc="683AEC68" w:tentative="1">
      <w:start w:val="1"/>
      <w:numFmt w:val="bullet"/>
      <w:lvlText w:val=""/>
      <w:lvlJc w:val="left"/>
      <w:pPr>
        <w:ind w:left="6480" w:hanging="360"/>
      </w:pPr>
      <w:rPr>
        <w:rFonts w:ascii="Wingdings" w:hAnsi="Wingdings" w:hint="default"/>
      </w:rPr>
    </w:lvl>
  </w:abstractNum>
  <w:abstractNum w:abstractNumId="8" w15:restartNumberingAfterBreak="0">
    <w:nsid w:val="54A32768"/>
    <w:multiLevelType w:val="hybridMultilevel"/>
    <w:tmpl w:val="024687EA"/>
    <w:lvl w:ilvl="0" w:tplc="99A837CA">
      <w:start w:val="1"/>
      <w:numFmt w:val="bullet"/>
      <w:lvlText w:val=""/>
      <w:lvlJc w:val="left"/>
      <w:pPr>
        <w:ind w:left="720" w:hanging="360"/>
      </w:pPr>
      <w:rPr>
        <w:rFonts w:ascii="Symbol" w:hAnsi="Symbol" w:hint="default"/>
      </w:rPr>
    </w:lvl>
    <w:lvl w:ilvl="1" w:tplc="95381C3A" w:tentative="1">
      <w:start w:val="1"/>
      <w:numFmt w:val="bullet"/>
      <w:lvlText w:val="o"/>
      <w:lvlJc w:val="left"/>
      <w:pPr>
        <w:ind w:left="1440" w:hanging="360"/>
      </w:pPr>
      <w:rPr>
        <w:rFonts w:ascii="Courier New" w:hAnsi="Courier New" w:cs="Courier New" w:hint="default"/>
      </w:rPr>
    </w:lvl>
    <w:lvl w:ilvl="2" w:tplc="4C54C472" w:tentative="1">
      <w:start w:val="1"/>
      <w:numFmt w:val="bullet"/>
      <w:lvlText w:val=""/>
      <w:lvlJc w:val="left"/>
      <w:pPr>
        <w:ind w:left="2160" w:hanging="360"/>
      </w:pPr>
      <w:rPr>
        <w:rFonts w:ascii="Wingdings" w:hAnsi="Wingdings" w:hint="default"/>
      </w:rPr>
    </w:lvl>
    <w:lvl w:ilvl="3" w:tplc="E280E158" w:tentative="1">
      <w:start w:val="1"/>
      <w:numFmt w:val="bullet"/>
      <w:lvlText w:val=""/>
      <w:lvlJc w:val="left"/>
      <w:pPr>
        <w:ind w:left="2880" w:hanging="360"/>
      </w:pPr>
      <w:rPr>
        <w:rFonts w:ascii="Symbol" w:hAnsi="Symbol" w:hint="default"/>
      </w:rPr>
    </w:lvl>
    <w:lvl w:ilvl="4" w:tplc="6890EE16" w:tentative="1">
      <w:start w:val="1"/>
      <w:numFmt w:val="bullet"/>
      <w:lvlText w:val="o"/>
      <w:lvlJc w:val="left"/>
      <w:pPr>
        <w:ind w:left="3600" w:hanging="360"/>
      </w:pPr>
      <w:rPr>
        <w:rFonts w:ascii="Courier New" w:hAnsi="Courier New" w:cs="Courier New" w:hint="default"/>
      </w:rPr>
    </w:lvl>
    <w:lvl w:ilvl="5" w:tplc="5D8E6D26" w:tentative="1">
      <w:start w:val="1"/>
      <w:numFmt w:val="bullet"/>
      <w:lvlText w:val=""/>
      <w:lvlJc w:val="left"/>
      <w:pPr>
        <w:ind w:left="4320" w:hanging="360"/>
      </w:pPr>
      <w:rPr>
        <w:rFonts w:ascii="Wingdings" w:hAnsi="Wingdings" w:hint="default"/>
      </w:rPr>
    </w:lvl>
    <w:lvl w:ilvl="6" w:tplc="C3C25BB8" w:tentative="1">
      <w:start w:val="1"/>
      <w:numFmt w:val="bullet"/>
      <w:lvlText w:val=""/>
      <w:lvlJc w:val="left"/>
      <w:pPr>
        <w:ind w:left="5040" w:hanging="360"/>
      </w:pPr>
      <w:rPr>
        <w:rFonts w:ascii="Symbol" w:hAnsi="Symbol" w:hint="default"/>
      </w:rPr>
    </w:lvl>
    <w:lvl w:ilvl="7" w:tplc="3B22172E" w:tentative="1">
      <w:start w:val="1"/>
      <w:numFmt w:val="bullet"/>
      <w:lvlText w:val="o"/>
      <w:lvlJc w:val="left"/>
      <w:pPr>
        <w:ind w:left="5760" w:hanging="360"/>
      </w:pPr>
      <w:rPr>
        <w:rFonts w:ascii="Courier New" w:hAnsi="Courier New" w:cs="Courier New" w:hint="default"/>
      </w:rPr>
    </w:lvl>
    <w:lvl w:ilvl="8" w:tplc="9ADA1DF8" w:tentative="1">
      <w:start w:val="1"/>
      <w:numFmt w:val="bullet"/>
      <w:lvlText w:val=""/>
      <w:lvlJc w:val="left"/>
      <w:pPr>
        <w:ind w:left="6480" w:hanging="360"/>
      </w:pPr>
      <w:rPr>
        <w:rFonts w:ascii="Wingdings" w:hAnsi="Wingdings" w:hint="default"/>
      </w:rPr>
    </w:lvl>
  </w:abstractNum>
  <w:abstractNum w:abstractNumId="9" w15:restartNumberingAfterBreak="0">
    <w:nsid w:val="7CD25EF0"/>
    <w:multiLevelType w:val="hybridMultilevel"/>
    <w:tmpl w:val="27F8D168"/>
    <w:lvl w:ilvl="0" w:tplc="6666B23E">
      <w:start w:val="1"/>
      <w:numFmt w:val="bullet"/>
      <w:lvlText w:val=""/>
      <w:lvlJc w:val="left"/>
      <w:pPr>
        <w:ind w:left="720" w:hanging="360"/>
      </w:pPr>
      <w:rPr>
        <w:rFonts w:ascii="Symbol" w:hAnsi="Symbol" w:hint="default"/>
      </w:rPr>
    </w:lvl>
    <w:lvl w:ilvl="1" w:tplc="7490469E" w:tentative="1">
      <w:start w:val="1"/>
      <w:numFmt w:val="bullet"/>
      <w:lvlText w:val="o"/>
      <w:lvlJc w:val="left"/>
      <w:pPr>
        <w:ind w:left="1440" w:hanging="360"/>
      </w:pPr>
      <w:rPr>
        <w:rFonts w:ascii="Courier New" w:hAnsi="Courier New" w:cs="Courier New" w:hint="default"/>
      </w:rPr>
    </w:lvl>
    <w:lvl w:ilvl="2" w:tplc="9926B782" w:tentative="1">
      <w:start w:val="1"/>
      <w:numFmt w:val="bullet"/>
      <w:lvlText w:val=""/>
      <w:lvlJc w:val="left"/>
      <w:pPr>
        <w:ind w:left="2160" w:hanging="360"/>
      </w:pPr>
      <w:rPr>
        <w:rFonts w:ascii="Wingdings" w:hAnsi="Wingdings" w:hint="default"/>
      </w:rPr>
    </w:lvl>
    <w:lvl w:ilvl="3" w:tplc="7E24B426" w:tentative="1">
      <w:start w:val="1"/>
      <w:numFmt w:val="bullet"/>
      <w:lvlText w:val=""/>
      <w:lvlJc w:val="left"/>
      <w:pPr>
        <w:ind w:left="2880" w:hanging="360"/>
      </w:pPr>
      <w:rPr>
        <w:rFonts w:ascii="Symbol" w:hAnsi="Symbol" w:hint="default"/>
      </w:rPr>
    </w:lvl>
    <w:lvl w:ilvl="4" w:tplc="85521DAE" w:tentative="1">
      <w:start w:val="1"/>
      <w:numFmt w:val="bullet"/>
      <w:lvlText w:val="o"/>
      <w:lvlJc w:val="left"/>
      <w:pPr>
        <w:ind w:left="3600" w:hanging="360"/>
      </w:pPr>
      <w:rPr>
        <w:rFonts w:ascii="Courier New" w:hAnsi="Courier New" w:cs="Courier New" w:hint="default"/>
      </w:rPr>
    </w:lvl>
    <w:lvl w:ilvl="5" w:tplc="18F4B5A6" w:tentative="1">
      <w:start w:val="1"/>
      <w:numFmt w:val="bullet"/>
      <w:lvlText w:val=""/>
      <w:lvlJc w:val="left"/>
      <w:pPr>
        <w:ind w:left="4320" w:hanging="360"/>
      </w:pPr>
      <w:rPr>
        <w:rFonts w:ascii="Wingdings" w:hAnsi="Wingdings" w:hint="default"/>
      </w:rPr>
    </w:lvl>
    <w:lvl w:ilvl="6" w:tplc="2830291E" w:tentative="1">
      <w:start w:val="1"/>
      <w:numFmt w:val="bullet"/>
      <w:lvlText w:val=""/>
      <w:lvlJc w:val="left"/>
      <w:pPr>
        <w:ind w:left="5040" w:hanging="360"/>
      </w:pPr>
      <w:rPr>
        <w:rFonts w:ascii="Symbol" w:hAnsi="Symbol" w:hint="default"/>
      </w:rPr>
    </w:lvl>
    <w:lvl w:ilvl="7" w:tplc="B8C28706" w:tentative="1">
      <w:start w:val="1"/>
      <w:numFmt w:val="bullet"/>
      <w:lvlText w:val="o"/>
      <w:lvlJc w:val="left"/>
      <w:pPr>
        <w:ind w:left="5760" w:hanging="360"/>
      </w:pPr>
      <w:rPr>
        <w:rFonts w:ascii="Courier New" w:hAnsi="Courier New" w:cs="Courier New" w:hint="default"/>
      </w:rPr>
    </w:lvl>
    <w:lvl w:ilvl="8" w:tplc="5C302F4C"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A16AFB"/>
    <w:rsid w:val="0036648B"/>
    <w:rsid w:val="004F3B57"/>
    <w:rsid w:val="008136AD"/>
    <w:rsid w:val="00962C9E"/>
    <w:rsid w:val="009C1EF5"/>
    <w:rsid w:val="00A16AF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B230D47F-FB1D-4197-8254-1C7BB68D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61BE"/>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customStyle="1" w:styleId="Default">
    <w:name w:val="Default"/>
    <w:rsid w:val="00CF3850"/>
    <w:pPr>
      <w:autoSpaceDE w:val="0"/>
      <w:autoSpaceDN w:val="0"/>
      <w:adjustRightInd w:val="0"/>
    </w:pPr>
    <w:rPr>
      <w:rFonts w:ascii="Arial" w:eastAsiaTheme="minorHAnsi" w:hAnsi="Arial" w:cs="Arial"/>
      <w:color w:val="000000"/>
    </w:rPr>
  </w:style>
  <w:style w:type="paragraph" w:styleId="Ballontekst">
    <w:name w:val="Balloon Text"/>
    <w:basedOn w:val="Standaard"/>
    <w:link w:val="BallontekstChar"/>
    <w:uiPriority w:val="99"/>
    <w:semiHidden/>
    <w:unhideWhenUsed/>
    <w:rsid w:val="00FC4D9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4D94"/>
    <w:rPr>
      <w:rFonts w:ascii="Segoe UI" w:hAnsi="Segoe UI" w:cs="Segoe UI"/>
      <w:sz w:val="18"/>
      <w:szCs w:val="18"/>
    </w:rPr>
  </w:style>
  <w:style w:type="paragraph" w:styleId="Voetnoottekst">
    <w:name w:val="footnote text"/>
    <w:basedOn w:val="Standaard"/>
    <w:link w:val="VoetnoottekstChar"/>
    <w:uiPriority w:val="99"/>
    <w:semiHidden/>
    <w:unhideWhenUsed/>
    <w:rsid w:val="00F4497C"/>
    <w:rPr>
      <w:sz w:val="20"/>
      <w:szCs w:val="20"/>
    </w:rPr>
  </w:style>
  <w:style w:type="character" w:customStyle="1" w:styleId="VoetnoottekstChar">
    <w:name w:val="Voetnoottekst Char"/>
    <w:basedOn w:val="Standaardalinea-lettertype"/>
    <w:link w:val="Voetnoottekst"/>
    <w:uiPriority w:val="99"/>
    <w:semiHidden/>
    <w:rsid w:val="00F4497C"/>
    <w:rPr>
      <w:sz w:val="20"/>
      <w:szCs w:val="20"/>
    </w:rPr>
  </w:style>
  <w:style w:type="character" w:styleId="Voetnootmarkering">
    <w:name w:val="footnote reference"/>
    <w:basedOn w:val="Standaardalinea-lettertype"/>
    <w:uiPriority w:val="99"/>
    <w:semiHidden/>
    <w:unhideWhenUsed/>
    <w:rsid w:val="00F4497C"/>
    <w:rPr>
      <w:vertAlign w:val="superscript"/>
    </w:rPr>
  </w:style>
  <w:style w:type="character" w:styleId="Verwijzingopmerking">
    <w:name w:val="annotation reference"/>
    <w:basedOn w:val="Standaardalinea-lettertype"/>
    <w:uiPriority w:val="99"/>
    <w:semiHidden/>
    <w:unhideWhenUsed/>
    <w:rsid w:val="00DE3B24"/>
    <w:rPr>
      <w:sz w:val="16"/>
      <w:szCs w:val="16"/>
    </w:rPr>
  </w:style>
  <w:style w:type="paragraph" w:styleId="Tekstopmerking">
    <w:name w:val="annotation text"/>
    <w:basedOn w:val="Standaard"/>
    <w:link w:val="TekstopmerkingChar"/>
    <w:uiPriority w:val="99"/>
    <w:semiHidden/>
    <w:unhideWhenUsed/>
    <w:rsid w:val="00DE3B24"/>
    <w:rPr>
      <w:sz w:val="20"/>
      <w:szCs w:val="20"/>
    </w:rPr>
  </w:style>
  <w:style w:type="character" w:customStyle="1" w:styleId="TekstopmerkingChar">
    <w:name w:val="Tekst opmerking Char"/>
    <w:basedOn w:val="Standaardalinea-lettertype"/>
    <w:link w:val="Tekstopmerking"/>
    <w:uiPriority w:val="99"/>
    <w:semiHidden/>
    <w:rsid w:val="00DE3B24"/>
    <w:rPr>
      <w:sz w:val="20"/>
      <w:szCs w:val="20"/>
    </w:rPr>
  </w:style>
  <w:style w:type="paragraph" w:styleId="Onderwerpvanopmerking">
    <w:name w:val="annotation subject"/>
    <w:basedOn w:val="Tekstopmerking"/>
    <w:next w:val="Tekstopmerking"/>
    <w:link w:val="OnderwerpvanopmerkingChar"/>
    <w:uiPriority w:val="99"/>
    <w:semiHidden/>
    <w:unhideWhenUsed/>
    <w:rsid w:val="00DE3B24"/>
    <w:rPr>
      <w:b/>
      <w:bCs/>
    </w:rPr>
  </w:style>
  <w:style w:type="character" w:customStyle="1" w:styleId="OnderwerpvanopmerkingChar">
    <w:name w:val="Onderwerp van opmerking Char"/>
    <w:basedOn w:val="TekstopmerkingChar"/>
    <w:link w:val="Onderwerpvanopmerking"/>
    <w:uiPriority w:val="99"/>
    <w:semiHidden/>
    <w:rsid w:val="00DE3B24"/>
    <w:rPr>
      <w:b/>
      <w:bCs/>
      <w:sz w:val="20"/>
      <w:szCs w:val="20"/>
    </w:rPr>
  </w:style>
  <w:style w:type="paragraph" w:styleId="Geenafstand">
    <w:name w:val="No Spacing"/>
    <w:uiPriority w:val="1"/>
    <w:qFormat/>
    <w:rsid w:val="0096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CE2325-10FC-4882-80ED-FEC4B22A98E2}">
  <ds:schemaRefs>
    <ds:schemaRef ds:uri="http://schemas.openxmlformats.org/officeDocument/2006/bibliography"/>
  </ds:schemaRefs>
</ds:datastoreItem>
</file>

<file path=customXml/itemProps2.xml><?xml version="1.0" encoding="utf-8"?>
<ds:datastoreItem xmlns:ds="http://schemas.openxmlformats.org/officeDocument/2006/customXml" ds:itemID="{90ECEBC8-C906-4C95-9324-F16C64F1CD6E}"/>
</file>

<file path=customXml/itemProps3.xml><?xml version="1.0" encoding="utf-8"?>
<ds:datastoreItem xmlns:ds="http://schemas.openxmlformats.org/officeDocument/2006/customXml" ds:itemID="{B55C7A64-74B6-489B-BDBD-BA3901989AA6}"/>
</file>

<file path=customXml/itemProps4.xml><?xml version="1.0" encoding="utf-8"?>
<ds:datastoreItem xmlns:ds="http://schemas.openxmlformats.org/officeDocument/2006/customXml" ds:itemID="{20CF8522-BF69-4DCA-A8F1-A86B8B822AD3}"/>
</file>

<file path=docProps/app.xml><?xml version="1.0" encoding="utf-8"?>
<Properties xmlns="http://schemas.openxmlformats.org/officeDocument/2006/extended-properties" xmlns:vt="http://schemas.openxmlformats.org/officeDocument/2006/docPropsVTypes">
  <Template>7356D93B</Template>
  <TotalTime>24</TotalTime>
  <Pages>6</Pages>
  <Words>1321</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IIA</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9</cp:revision>
  <cp:lastPrinted>2016-11-18T19:04:00Z</cp:lastPrinted>
  <dcterms:created xsi:type="dcterms:W3CDTF">2016-11-18T18:48:00Z</dcterms:created>
  <dcterms:modified xsi:type="dcterms:W3CDTF">2017-08-21T12:41:00Z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