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3E0CEA" w:rsidRDefault="00C6368B" w:rsidP="002F57B5">
      <w:pPr>
        <w:pStyle w:val="TemplateHeadline"/>
        <w:rPr>
          <w:rFonts w:asciiTheme="minorHAnsi" w:hAnsiTheme="minorHAnsi" w:cstheme="minorHAnsi"/>
        </w:rPr>
      </w:pPr>
      <w:r w:rsidRPr="003E0CEA">
        <w:rPr>
          <w:rFonts w:asciiTheme="minorHAnsi" w:hAnsiTheme="minorHAnsi"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1543050</wp:posOffset>
                </wp:positionV>
                <wp:extent cx="6400800" cy="33051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3305175"/>
                        </a:xfrm>
                        <a:prstGeom prst="rect">
                          <a:avLst/>
                        </a:prstGeom>
                        <a:solidFill>
                          <a:schemeClr val="bg1">
                            <a:lumMod val="85000"/>
                          </a:scheme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D24D8B" w:rsidRDefault="002F57B5" w:rsidP="002F57B5">
                            <w:pPr>
                              <w:pStyle w:val="TemplateHeadline"/>
                              <w:rPr>
                                <w:rFonts w:asciiTheme="majorHAnsi" w:hAnsiTheme="majorHAnsi" w:cstheme="majorHAnsi"/>
                              </w:rPr>
                            </w:pPr>
                            <w:bookmarkStart w:id="0" w:name="_GoBack"/>
                            <w:bookmarkEnd w:id="0"/>
                            <w:r w:rsidRPr="00D24D8B">
                              <w:rPr>
                                <w:rFonts w:asciiTheme="majorHAnsi" w:hAnsiTheme="majorHAnsi" w:cstheme="majorHAnsi"/>
                                <w:lang w:val="nl-NL"/>
                              </w:rPr>
                              <w:t xml:space="preserve">Standaard </w:t>
                            </w:r>
                            <w:r w:rsidR="00923F7F" w:rsidRPr="00923F7F">
                              <w:rPr>
                                <w:rFonts w:asciiTheme="majorHAnsi" w:hAnsiTheme="majorHAnsi" w:cstheme="majorHAnsi"/>
                                <w:lang w:val="nl-NL"/>
                              </w:rPr>
                              <w:t>2340 – Toezicht op de opdracht</w:t>
                            </w:r>
                          </w:p>
                          <w:p w:rsidR="00E269AE" w:rsidRPr="00E269AE" w:rsidRDefault="00923F7F" w:rsidP="00E269AE">
                            <w:pPr>
                              <w:autoSpaceDE w:val="0"/>
                              <w:autoSpaceDN w:val="0"/>
                              <w:adjustRightInd w:val="0"/>
                              <w:spacing w:before="100" w:beforeAutospacing="1" w:after="100" w:afterAutospacing="1"/>
                              <w:jc w:val="both"/>
                              <w:rPr>
                                <w:rFonts w:ascii="Arial" w:hAnsi="Arial" w:cs="Arial"/>
                                <w:color w:val="000000"/>
                                <w:sz w:val="22"/>
                                <w:szCs w:val="22"/>
                              </w:rPr>
                            </w:pPr>
                            <w:r w:rsidRPr="00923F7F">
                              <w:rPr>
                                <w:rFonts w:ascii="Arial" w:hAnsi="Arial" w:cs="Arial"/>
                                <w:color w:val="000000"/>
                                <w:sz w:val="22"/>
                                <w:szCs w:val="22"/>
                                <w:lang w:val="nl-NL"/>
                              </w:rPr>
                              <w:t>Er moet naar behoren toezicht worden gehouden op de opdrachten, om de doelstellingen te realiseren, de kwaliteit te waarborgen en het personeel verder te vormen.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3E0CEA" w:rsidRDefault="00923F7F" w:rsidP="00963DFA">
                            <w:pPr>
                              <w:spacing w:before="100" w:beforeAutospacing="1" w:after="100" w:afterAutospacing="1"/>
                              <w:rPr>
                                <w:i/>
                                <w:color w:val="000000"/>
                                <w:sz w:val="22"/>
                                <w:szCs w:val="22"/>
                              </w:rPr>
                            </w:pPr>
                            <w:r w:rsidRPr="00923F7F">
                              <w:rPr>
                                <w:rFonts w:ascii="Arial" w:hAnsi="Arial" w:cs="Arial"/>
                                <w:i/>
                                <w:iCs/>
                                <w:color w:val="000000"/>
                                <w:sz w:val="22"/>
                                <w:szCs w:val="22"/>
                                <w:lang w:val="nl-NL"/>
                              </w:rPr>
                              <w:t>De benodigde mate van toezicht zal afhangen van de vakbekwaamheid en ervaring van de internal auditors en de complexiteit van de opdracht. Het hoofd van de internal-auditfunctie heeft de eindverantwoordelijkheid voor het toezicht op de opdracht, ongeacht of deze wordt uitgevoerd door of voor de internal-auditfunctie, maar kan voldoende ervaren leden van internal-auditfunctie aanwijzen voor het uitvoeren van de beoordeling. Passend bewijs van dit toezicht wordt gedocumenteerd en bewaard.</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3E0CEA" w:rsidRDefault="00963DFA" w:rsidP="00963DFA">
                            <w:pPr>
                              <w:pStyle w:val="RedBullets"/>
                              <w:numPr>
                                <w:ilvl w:val="0"/>
                                <w:numId w:val="0"/>
                              </w:numPr>
                              <w:jc w:val="right"/>
                              <w:rPr>
                                <w:rFonts w:cstheme="majorHAnsi"/>
                                <w:sz w:val="22"/>
                                <w:szCs w:val="22"/>
                              </w:rPr>
                            </w:pPr>
                            <w:proofErr w:type="spellStart"/>
                            <w:r w:rsidRPr="003E0CEA">
                              <w:rPr>
                                <w:rFonts w:cstheme="majorHAnsi"/>
                                <w:sz w:val="22"/>
                                <w:szCs w:val="22"/>
                                <w:lang w:val="nl-NL"/>
                              </w:rPr>
                              <w:t>Herziene</w:t>
                            </w:r>
                            <w:proofErr w:type="spellEnd"/>
                            <w:r w:rsidRPr="003E0CEA">
                              <w:rPr>
                                <w:rFonts w:cstheme="majorHAnsi"/>
                                <w:sz w:val="22"/>
                                <w:szCs w:val="22"/>
                                <w:lang w:val="nl-NL"/>
                              </w:rPr>
                              <w:t xml:space="preserve"> </w:t>
                            </w:r>
                            <w:r w:rsidRPr="003E0CEA">
                              <w:rPr>
                                <w:rFonts w:cstheme="majorHAnsi"/>
                                <w:i/>
                                <w:sz w:val="22"/>
                                <w:szCs w:val="22"/>
                                <w:lang w:val="nl-NL"/>
                              </w:rPr>
                              <w:t>Standaarden</w:t>
                            </w:r>
                            <w:r w:rsidRPr="003E0CEA">
                              <w:rPr>
                                <w:rFonts w:cstheme="majorHAnsi"/>
                                <w:sz w:val="22"/>
                                <w:szCs w:val="22"/>
                                <w:lang w:val="nl-NL"/>
                              </w:rPr>
                              <w:t xml:space="preserve">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1.5pt;width:7in;height:260.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" fillcolor="#d8d8d8 [2732]" stroked="f">
                <v:textbox inset="14.4pt,23.76pt,14.4pt,23.76pt">
                  <w:txbxContent>
                    <w:p w:rsidR="002F57B5" w:rsidRPr="00D24D8B" w:rsidRDefault="002F57B5" w:rsidP="002F57B5">
                      <w:pPr>
                        <w:pStyle w:val="TemplateHeadline"/>
                        <w:rPr>
                          <w:rFonts w:asciiTheme="majorHAnsi" w:hAnsiTheme="majorHAnsi" w:cstheme="majorHAnsi"/>
                        </w:rPr>
                      </w:pPr>
                      <w:bookmarkStart w:id="1" w:name="_GoBack"/>
                      <w:bookmarkEnd w:id="1"/>
                      <w:r w:rsidRPr="00D24D8B">
                        <w:rPr>
                          <w:rFonts w:asciiTheme="majorHAnsi" w:hAnsiTheme="majorHAnsi" w:cstheme="majorHAnsi"/>
                          <w:lang w:val="nl-NL"/>
                        </w:rPr>
                        <w:t xml:space="preserve">Standaard </w:t>
                      </w:r>
                      <w:r w:rsidR="00923F7F" w:rsidRPr="00923F7F">
                        <w:rPr>
                          <w:rFonts w:asciiTheme="majorHAnsi" w:hAnsiTheme="majorHAnsi" w:cstheme="majorHAnsi"/>
                          <w:lang w:val="nl-NL"/>
                        </w:rPr>
                        <w:t>2340 – Toezicht op de opdracht</w:t>
                      </w:r>
                    </w:p>
                    <w:p w:rsidR="00E269AE" w:rsidRPr="00E269AE" w:rsidRDefault="00923F7F" w:rsidP="00E269AE">
                      <w:pPr>
                        <w:autoSpaceDE w:val="0"/>
                        <w:autoSpaceDN w:val="0"/>
                        <w:adjustRightInd w:val="0"/>
                        <w:spacing w:before="100" w:beforeAutospacing="1" w:after="100" w:afterAutospacing="1"/>
                        <w:jc w:val="both"/>
                        <w:rPr>
                          <w:rFonts w:ascii="Arial" w:hAnsi="Arial" w:cs="Arial"/>
                          <w:color w:val="000000"/>
                          <w:sz w:val="22"/>
                          <w:szCs w:val="22"/>
                        </w:rPr>
                      </w:pPr>
                      <w:r w:rsidRPr="00923F7F">
                        <w:rPr>
                          <w:rFonts w:ascii="Arial" w:hAnsi="Arial" w:cs="Arial"/>
                          <w:color w:val="000000"/>
                          <w:sz w:val="22"/>
                          <w:szCs w:val="22"/>
                          <w:lang w:val="nl-NL"/>
                        </w:rPr>
                        <w:t>Er moet naar behoren toezicht worden gehouden op de opdrachten, om de doelstellingen te realiseren, de kwaliteit te waarborgen en het personeel verder te vormen.</w:t>
                      </w:r>
                    </w:p>
                    <w:p w:rsidR="00E269AE" w:rsidRPr="00377F3E" w:rsidRDefault="00E269AE" w:rsidP="00E269AE">
                      <w:pPr>
                        <w:spacing w:before="100" w:beforeAutospacing="1" w:after="100" w:afterAutospacing="1"/>
                        <w:rPr>
                          <w:rFonts w:ascii="Arial" w:hAnsi="Arial" w:cs="Arial"/>
                          <w:color w:val="000000"/>
                          <w:sz w:val="22"/>
                          <w:szCs w:val="22"/>
                        </w:rPr>
                      </w:pPr>
                      <w:r w:rsidRPr="00377F3E">
                        <w:rPr>
                          <w:rFonts w:ascii="Arial" w:hAnsi="Arial" w:cs="Arial"/>
                          <w:b/>
                          <w:bCs/>
                          <w:color w:val="000000"/>
                          <w:sz w:val="22"/>
                          <w:szCs w:val="22"/>
                          <w:lang w:val="nl-NL"/>
                        </w:rPr>
                        <w:t>Interpretatie:</w:t>
                      </w:r>
                    </w:p>
                    <w:p w:rsidR="00963DFA" w:rsidRPr="003E0CEA" w:rsidRDefault="00923F7F" w:rsidP="00963DFA">
                      <w:pPr>
                        <w:spacing w:before="100" w:beforeAutospacing="1" w:after="100" w:afterAutospacing="1"/>
                        <w:rPr>
                          <w:i/>
                          <w:color w:val="000000"/>
                          <w:sz w:val="22"/>
                          <w:szCs w:val="22"/>
                        </w:rPr>
                      </w:pPr>
                      <w:r w:rsidRPr="00923F7F">
                        <w:rPr>
                          <w:rFonts w:ascii="Arial" w:hAnsi="Arial" w:cs="Arial"/>
                          <w:i/>
                          <w:iCs/>
                          <w:color w:val="000000"/>
                          <w:sz w:val="22"/>
                          <w:szCs w:val="22"/>
                          <w:lang w:val="nl-NL"/>
                        </w:rPr>
                        <w:t>De benodigde mate van toezicht zal afhangen van de vakbekwaamheid en ervaring van de internal auditors en de complexiteit van de opdracht. Het hoofd van de internal-auditfunctie heeft de eindverantwoordelijkheid voor het toezicht op de opdracht, ongeacht of deze wordt uitgevoerd door of voor de internal-auditfunctie, maar kan voldoende ervaren leden van internal-auditfunctie aanwijzen voor het uitvoeren van de beoordeling. Passend bewijs van dit toezicht wordt gedocumenteerd en bewaard.</w:t>
                      </w:r>
                      <w:r w:rsidR="00963DFA">
                        <w:rPr>
                          <w:rFonts w:ascii="Arial" w:hAnsi="Arial" w:cs="Arial"/>
                          <w:i/>
                          <w:iCs/>
                          <w:color w:val="000000"/>
                          <w:sz w:val="22"/>
                          <w:szCs w:val="22"/>
                          <w:lang w:val="nl-NL"/>
                        </w:rPr>
                        <w:t xml:space="preserve"> </w:t>
                      </w:r>
                      <w:r w:rsidR="00E269AE" w:rsidRPr="00377F3E">
                        <w:rPr>
                          <w:rFonts w:ascii="Arial" w:hAnsi="Arial" w:cs="Arial"/>
                          <w:i/>
                          <w:iCs/>
                          <w:color w:val="000000"/>
                          <w:sz w:val="22"/>
                          <w:szCs w:val="22"/>
                          <w:lang w:val="nl-NL"/>
                        </w:rPr>
                        <w:t xml:space="preserve"> </w:t>
                      </w:r>
                    </w:p>
                    <w:p w:rsidR="00963DFA" w:rsidRPr="003E0CEA" w:rsidRDefault="00963DFA" w:rsidP="00963DFA">
                      <w:pPr>
                        <w:pStyle w:val="RedBullets"/>
                        <w:numPr>
                          <w:ilvl w:val="0"/>
                          <w:numId w:val="0"/>
                        </w:numPr>
                        <w:jc w:val="right"/>
                        <w:rPr>
                          <w:rFonts w:cstheme="majorHAnsi"/>
                          <w:sz w:val="22"/>
                          <w:szCs w:val="22"/>
                        </w:rPr>
                      </w:pPr>
                      <w:proofErr w:type="spellStart"/>
                      <w:r w:rsidRPr="003E0CEA">
                        <w:rPr>
                          <w:rFonts w:cstheme="majorHAnsi"/>
                          <w:sz w:val="22"/>
                          <w:szCs w:val="22"/>
                          <w:lang w:val="nl-NL"/>
                        </w:rPr>
                        <w:t>Herziene</w:t>
                      </w:r>
                      <w:proofErr w:type="spellEnd"/>
                      <w:r w:rsidRPr="003E0CEA">
                        <w:rPr>
                          <w:rFonts w:cstheme="majorHAnsi"/>
                          <w:sz w:val="22"/>
                          <w:szCs w:val="22"/>
                          <w:lang w:val="nl-NL"/>
                        </w:rPr>
                        <w:t xml:space="preserve"> </w:t>
                      </w:r>
                      <w:r w:rsidRPr="003E0CEA">
                        <w:rPr>
                          <w:rFonts w:cstheme="majorHAnsi"/>
                          <w:i/>
                          <w:sz w:val="22"/>
                          <w:szCs w:val="22"/>
                          <w:lang w:val="nl-NL"/>
                        </w:rPr>
                        <w:t>Standaarden</w:t>
                      </w:r>
                      <w:r w:rsidRPr="003E0CEA">
                        <w:rPr>
                          <w:rFonts w:cstheme="majorHAnsi"/>
                          <w:sz w:val="22"/>
                          <w:szCs w:val="22"/>
                          <w:lang w:val="nl-NL"/>
                        </w:rPr>
                        <w:t xml:space="preserve"> die per 1 januari 2017 van kracht zijn</w:t>
                      </w:r>
                    </w:p>
                  </w:txbxContent>
                </v:textbox>
                <w10:wrap type="square" anchorx="margin" anchory="margin"/>
              </v:shape>
            </w:pict>
          </mc:Fallback>
        </mc:AlternateContent>
      </w:r>
      <w:r w:rsidR="00685768" w:rsidRPr="003E0CEA">
        <w:rPr>
          <w:rFonts w:asciiTheme="minorHAnsi" w:hAnsiTheme="minorHAnsi"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923F7F">
                              <w:rPr>
                                <w:color w:val="FFFFFF" w:themeColor="background1"/>
                                <w:sz w:val="50"/>
                                <w:szCs w:val="50"/>
                                <w:lang w:val="nl-NL"/>
                                <w14:textOutline w14:w="9525" w14:cap="flat" w14:cmpd="sng" w14:algn="ctr">
                                  <w14:noFill/>
                                  <w14:prstDash w14:val="solid"/>
                                  <w14:round/>
                                </w14:textOutline>
                              </w:rPr>
                              <w:t>34</w:t>
                            </w:r>
                            <w:r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2F57B5" w:rsidP="002F57B5">
                      <w:pPr>
                        <w:pStyle w:val="Headline"/>
                        <w:jc w:val="right"/>
                        <w:rPr>
                          <w:color w:val="FFFFFF" w:themeColor="background1"/>
                          <w:sz w:val="50"/>
                          <w:szCs w:val="50"/>
                          <w14:textOutline w14:w="9525" w14:cap="flat" w14:cmpd="sng" w14:algn="ctr">
                            <w14:noFill/>
                            <w14:prstDash w14:val="solid"/>
                            <w14:round/>
                          </w14:textOutline>
                        </w:rPr>
                      </w:pPr>
                      <w:r w:rsidRPr="00E6381B">
                        <w:rPr>
                          <w:color w:val="FFFFFF" w:themeColor="background1"/>
                          <w:sz w:val="50"/>
                          <w:szCs w:val="50"/>
                          <w:lang w:val="nl-NL"/>
                          <w14:textOutline w14:w="9525" w14:cap="flat" w14:cmpd="sng" w14:algn="ctr">
                            <w14:noFill/>
                            <w14:prstDash w14:val="solid"/>
                            <w14:round/>
                          </w14:textOutline>
                        </w:rPr>
                        <w:t xml:space="preserve">Implementatierichtlijn </w:t>
                      </w:r>
                      <w:r w:rsidR="00E269AE">
                        <w:rPr>
                          <w:color w:val="FFFFFF" w:themeColor="background1"/>
                          <w:sz w:val="50"/>
                          <w:szCs w:val="50"/>
                          <w:lang w:val="nl-NL"/>
                          <w14:textOutline w14:w="9525" w14:cap="flat" w14:cmpd="sng" w14:algn="ctr">
                            <w14:noFill/>
                            <w14:prstDash w14:val="solid"/>
                            <w14:round/>
                          </w14:textOutline>
                        </w:rPr>
                        <w:t>2</w:t>
                      </w:r>
                      <w:r w:rsidR="00923F7F">
                        <w:rPr>
                          <w:color w:val="FFFFFF" w:themeColor="background1"/>
                          <w:sz w:val="50"/>
                          <w:szCs w:val="50"/>
                          <w:lang w:val="nl-NL"/>
                          <w14:textOutline w14:w="9525" w14:cap="flat" w14:cmpd="sng" w14:algn="ctr">
                            <w14:noFill/>
                            <w14:prstDash w14:val="solid"/>
                            <w14:round/>
                          </w14:textOutline>
                        </w:rPr>
                        <w:t>34</w:t>
                      </w:r>
                      <w:r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r w:rsidR="00685768" w:rsidRPr="003E0CEA">
        <w:rPr>
          <w:rFonts w:asciiTheme="minorHAnsi" w:hAnsiTheme="minorHAnsi" w:cstheme="minorHAnsi"/>
          <w:lang w:val="nl-NL"/>
        </w:rPr>
        <w:t xml:space="preserve">Inleiding </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Het hoofd van de internal auditfunctie (CAE) heeft de algehele verantwoordelijkheid voor het toezicht op opdrachten om te waarborgen dat de doelstellingen worden bereikt, de kwaliteit is gewaarborgd en het personeel wordt opgeleid. Bij de planning van de manier waarop toezicht wordt gehouden op de opdracht dient de CAE derhalve kennis te nemen van de opdrachtdoelstellingen en het beleid en de procedures van internal auditing die naleving van Standaard 2340 ondersteunen. De CAE heeft gewoonlijk al voordat het </w:t>
      </w:r>
      <w:proofErr w:type="spellStart"/>
      <w:r w:rsidRPr="003E0CEA">
        <w:rPr>
          <w:rFonts w:asciiTheme="minorHAnsi" w:hAnsiTheme="minorHAnsi" w:cstheme="minorHAnsi"/>
          <w:sz w:val="22"/>
          <w:szCs w:val="22"/>
          <w:lang w:val="nl-NL"/>
        </w:rPr>
        <w:t>opdrachtplanningproces</w:t>
      </w:r>
      <w:proofErr w:type="spellEnd"/>
      <w:r w:rsidRPr="003E0CEA">
        <w:rPr>
          <w:rFonts w:asciiTheme="minorHAnsi" w:hAnsiTheme="minorHAnsi" w:cstheme="minorHAnsi"/>
          <w:sz w:val="22"/>
          <w:szCs w:val="22"/>
          <w:lang w:val="nl-NL"/>
        </w:rPr>
        <w:t xml:space="preserve"> begint beleid en procedures voor internal auditing ontwikkeld om aan te geven hoe opdrachten worden gepland en uitgevoerd en hoe er toezicht op wordt gehouden (zie Standaard 2040 – Beleid en procedures). Dergelijke beleidsregels en procedures kunnen voorschrijven welke computerprogramma's of sjablonen internal auditors dienen te gebruiken </w:t>
      </w:r>
      <w:r w:rsidRPr="003E0CEA">
        <w:rPr>
          <w:rFonts w:asciiTheme="minorHAnsi" w:hAnsiTheme="minorHAnsi" w:cstheme="minorHAnsi"/>
          <w:sz w:val="22"/>
          <w:szCs w:val="22"/>
          <w:lang w:val="nl-NL"/>
        </w:rPr>
        <w:lastRenderedPageBreak/>
        <w:t>om consistente formats voor werkprogramma's en werkdocumenten vast te stellen. Beleidsregels en procedures kunnen op dezelfde wijze kansen voor opleiding van medewerkers aangeven, zoals een beleid dat vereist dat post-opdracht vergaderingen worden gehouden tussen de internal auditor(s) die de opdracht hebben uitgevoerd en de CAE of aangewezen toezichthouder van de opdracht.</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Beoordelingen van de bekwaamheid van internal auditmedewerkers vinden doorlopend plaats en niet alleen als onderdeel van het opdrachtproces. Beoordelingen van de bekwaamheid bieden over het algemeen voldoende informatie over de competenties van de internal auditors om de CAE in staat te stellen internal auditors op een juiste wijze toe te wijzen aan opdrachten waarvoor zij de vereiste kennis, bekwaamheden en andere competenties bezitten. Zij stellen de CAE evenzo in staat om een bevoegde toezichthouder aan de opdracht toe te wijzen.</w:t>
      </w:r>
    </w:p>
    <w:p w:rsidR="002F57B5" w:rsidRPr="003E0CEA" w:rsidRDefault="002F57B5" w:rsidP="002F57B5">
      <w:pPr>
        <w:pStyle w:val="TemplateHeadline"/>
        <w:rPr>
          <w:rFonts w:asciiTheme="minorHAnsi" w:hAnsiTheme="minorHAnsi" w:cstheme="minorHAnsi"/>
          <w:color w:val="000000"/>
          <w:sz w:val="22"/>
          <w:szCs w:val="22"/>
        </w:rPr>
      </w:pPr>
    </w:p>
    <w:p w:rsidR="002F57B5" w:rsidRPr="003E0CEA" w:rsidRDefault="00685768" w:rsidP="002F57B5">
      <w:pPr>
        <w:pStyle w:val="TemplateHeadline"/>
        <w:rPr>
          <w:rFonts w:asciiTheme="minorHAnsi" w:hAnsiTheme="minorHAnsi" w:cstheme="minorHAnsi"/>
        </w:rPr>
      </w:pPr>
      <w:r w:rsidRPr="003E0CEA">
        <w:rPr>
          <w:rFonts w:asciiTheme="minorHAnsi" w:hAnsiTheme="minorHAnsi" w:cstheme="minorHAnsi"/>
          <w:lang w:val="nl-NL"/>
        </w:rPr>
        <w:t xml:space="preserve">Overwegingen bij de implementatie </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Toezicht op een opdracht is een proces dat begint met opdrachtplanning en voortduurt tijdens de opdracht. Tijdens de </w:t>
      </w:r>
      <w:proofErr w:type="spellStart"/>
      <w:r w:rsidRPr="003E0CEA">
        <w:rPr>
          <w:rFonts w:asciiTheme="minorHAnsi" w:hAnsiTheme="minorHAnsi" w:cstheme="minorHAnsi"/>
          <w:sz w:val="22"/>
          <w:szCs w:val="22"/>
          <w:lang w:val="nl-NL"/>
        </w:rPr>
        <w:t>planningfase</w:t>
      </w:r>
      <w:proofErr w:type="spellEnd"/>
      <w:r w:rsidRPr="003E0CEA">
        <w:rPr>
          <w:rFonts w:asciiTheme="minorHAnsi" w:hAnsiTheme="minorHAnsi" w:cstheme="minorHAnsi"/>
          <w:sz w:val="22"/>
          <w:szCs w:val="22"/>
          <w:lang w:val="nl-NL"/>
        </w:rPr>
        <w:t xml:space="preserve"> is de toezichthouder van de opdracht verantwoordelijk voor het goedkeuren van het opdrachtwerkprogramma en kan hij/zij verantwoordelijkheid nemen voor andere aspecten van het </w:t>
      </w:r>
      <w:proofErr w:type="spellStart"/>
      <w:r w:rsidRPr="003E0CEA">
        <w:rPr>
          <w:rFonts w:asciiTheme="minorHAnsi" w:hAnsiTheme="minorHAnsi" w:cstheme="minorHAnsi"/>
          <w:sz w:val="22"/>
          <w:szCs w:val="22"/>
          <w:lang w:val="nl-NL"/>
        </w:rPr>
        <w:t>planningproces</w:t>
      </w:r>
      <w:proofErr w:type="spellEnd"/>
      <w:r w:rsidRPr="003E0CEA">
        <w:rPr>
          <w:rFonts w:asciiTheme="minorHAnsi" w:hAnsiTheme="minorHAnsi" w:cstheme="minorHAnsi"/>
          <w:sz w:val="22"/>
          <w:szCs w:val="22"/>
          <w:lang w:val="nl-NL"/>
        </w:rPr>
        <w:t xml:space="preserve"> (zie Standaard 2240.A1). Het primaire criterium voor goedkeuring van het werkprogramma is of het erop gericht is de doelstellingen van de opdracht op efficiënte wijze te bereiken. Daarnaast moet het werkprogramma procedures bevatten voor het identificeren, analyseren, beoordelen en documenteren van opdrachtinformatie. Standaard 2240.A1 stelt dat eventuele aanpassingen aan het werkprogramma moeten worden goedgekeurd. Het toezicht op de opdracht houdt ook in dat ervoor wordt gezorgd dat het werkprogramma wordt afgerond en dat alle veranderingen in het werkprogramma worden goedgekeurd.</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De toezichthouder van de opdracht communiceert doorgaans voortdurend met de internal auditor(s) die belast zijn met de uitvoering van de opdracht en het management van het onderzochte gebied of proces. De toezichthouder van de opdracht beoordeelt meestal de werkdocumenten van de opdracht die de uitgevoerde auditprocedures beschrijven, evenals de geïdentificeerde informatie en de opmerkingen en voorlopige conclusies die tijdens de opdracht zijn bereikt. De toezichthouder beoordeelt of de informatie, de toetsing en de resultaten voldoende, betrouwbaar, relevant en nuttig zijn </w:t>
      </w:r>
      <w:r w:rsidRPr="003E0CEA">
        <w:rPr>
          <w:rFonts w:asciiTheme="minorHAnsi" w:hAnsiTheme="minorHAnsi" w:cstheme="minorHAnsi"/>
          <w:sz w:val="22"/>
          <w:szCs w:val="22"/>
          <w:lang w:val="nl-NL"/>
        </w:rPr>
        <w:lastRenderedPageBreak/>
        <w:t>om de opdrachtdoelen te bereiken en de opdrachtresultaten en conclusies te ondersteunen, zoals vereist door Standaard 2330 – Documenteren van de informatie.</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Standaard 2420 – Kwaliteit van de communicatie, vereist dat de opdrachtcommunicatie accuraat, objectief, duidelijk, beknopt, constructief, compleet en tijdig is. Toezichthouders van opdrachten controleren opdrachtcommunicatie en werkdocumenten op deze elementen, omdat werkdocumenten de primaire ondersteuning bieden voor communicatie met betrekking tot de opdracht.</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Tijdens de opdracht hebben de toezichthouder van de opdracht en/of CAE een vergadering met de internal auditor(s) die zijn aangewezen om de opdracht te verrichten en zij bespreken het opdrachtproces, dat mogelijkheden biedt voor training, ontwikkeling en beoordeling van de internal auditor(s). Toezichthouders kunnen bij het bestuderen van de opdrachtcommunicatie en opdrachtwerkdocumenten, die alle aspecten van het opdrachtproces documenteren, aanvullende bewijzen of verduidelijking vragen. Internal auditors kunnen de kans krijgen om hun werk te verbeteren door vragen te beantwoorden die door de toezichthouder van de opdracht worden gesteld. </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De notities van de toezichthouder worden meestal verwijderd uit de definitieve documentatie zodra voldoende bewijsmateriaal is verstrekt of werkdocumenten zijn aangepast met aanvullende informatie die betrekking heeft op de zorgen en/of vragen die de toezichthouder te berde heeft gebracht. Een andere optie is dat de internal auditfunctie een afzonderlijk dossier bijhoudt van de problemen en vragen van de toezichthouder van de opdracht, de stappen die zijn genomen om deze op te lossen en de resultaten van die stappen.</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De CAE is verantwoordelijk voor alle internal auditopdrachten en alle belangrijke professionele beoordelingen die tijdens de opdrachten zijn gedaan, hetzij door de internal auditfunctie of anderen die de werkzaamheden voor de internal auditfunctie verrichten. Daarom ontwikkelt de CAE doorgaans beleidsregels en procedures die erop zijn gericht om het risico te beperken dat internal auditors beslissingen nemen of maatregelen treffen die in strijd zijn met het professionele oordeel van de CAE en de opdracht negatief kunnen beïnvloeden. De CAE stelt doorgaans een manier vast om eventuele verschillen in professionele oordelen die kunnen ontstaan op te lossen. Dit kan inhouden dat relevante feiten worden besproken, aanvullend(e) onderzoek of research wordt uitgevoerd en dat de verschillende standpunten in werkdocumenten van de opdracht worden gedocumenteerd en er conclusies aan worden verbonden. Indien er een verschil is in professioneel oordeel over een ethisch </w:t>
      </w:r>
      <w:r w:rsidRPr="003E0CEA">
        <w:rPr>
          <w:rFonts w:asciiTheme="minorHAnsi" w:hAnsiTheme="minorHAnsi" w:cstheme="minorHAnsi"/>
          <w:sz w:val="22"/>
          <w:szCs w:val="22"/>
          <w:lang w:val="nl-NL"/>
        </w:rPr>
        <w:lastRenderedPageBreak/>
        <w:t>probleem, kan de kwestie worden doorverwezen naar de personen in de organisatie die verantwoordelijk zijn voor ethische zaken.</w:t>
      </w:r>
      <w:r w:rsidR="003E0CEA">
        <w:rPr>
          <w:rFonts w:asciiTheme="minorHAnsi" w:hAnsiTheme="minorHAnsi" w:cstheme="minorHAnsi"/>
          <w:sz w:val="22"/>
          <w:szCs w:val="22"/>
          <w:lang w:val="nl-NL"/>
        </w:rPr>
        <w:br/>
      </w:r>
    </w:p>
    <w:p w:rsidR="00FE4706" w:rsidRPr="003E0CEA" w:rsidRDefault="00685768" w:rsidP="002F57B5">
      <w:pPr>
        <w:pStyle w:val="TemplateHeadline"/>
        <w:rPr>
          <w:rFonts w:asciiTheme="minorHAnsi" w:hAnsiTheme="minorHAnsi" w:cstheme="minorHAnsi"/>
          <w:lang w:val="nl-NL"/>
        </w:rPr>
      </w:pPr>
      <w:r w:rsidRPr="003E0CEA">
        <w:rPr>
          <w:rFonts w:asciiTheme="minorHAnsi" w:hAnsiTheme="minorHAnsi" w:cstheme="minorHAnsi"/>
          <w:lang w:val="nl-NL"/>
        </w:rPr>
        <w:t>Overwegingen b</w:t>
      </w:r>
      <w:r w:rsidR="002F57B5" w:rsidRPr="003E0CEA">
        <w:rPr>
          <w:rFonts w:asciiTheme="minorHAnsi" w:hAnsiTheme="minorHAnsi" w:cstheme="minorHAnsi"/>
          <w:lang w:val="nl-NL"/>
        </w:rPr>
        <w:t>ij het aantonen van de naleving</w:t>
      </w:r>
    </w:p>
    <w:p w:rsidR="003959E0"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 xml:space="preserve">Bewijs van naleving van Standaard 2340 kan worden geleverd door werkdocumenten van opdrachten, ofwel geparafeerd en gedateerd door de toezichthouder van de opdracht (indien handmatig gedocumenteerd) of elektronisch goedgekeurd (indien gedocumenteerd in een softwaresysteem voor werkdocumenten). Aanvullend bewijs kan bestaan uit een ingevulde checklist en/of een memorandum van beoordelingsopmerkingen. </w:t>
      </w:r>
    </w:p>
    <w:p w:rsidR="00FE4706" w:rsidRPr="003E0CEA" w:rsidRDefault="003959E0" w:rsidP="003959E0">
      <w:pPr>
        <w:pStyle w:val="TemplateBodyText"/>
        <w:rPr>
          <w:rFonts w:asciiTheme="minorHAnsi" w:hAnsiTheme="minorHAnsi" w:cstheme="minorHAnsi"/>
          <w:sz w:val="22"/>
          <w:szCs w:val="22"/>
          <w:lang w:val="nl-NL"/>
        </w:rPr>
      </w:pPr>
      <w:r w:rsidRPr="003E0CEA">
        <w:rPr>
          <w:rFonts w:asciiTheme="minorHAnsi" w:hAnsiTheme="minorHAnsi" w:cstheme="minorHAnsi"/>
          <w:sz w:val="22"/>
          <w:szCs w:val="22"/>
          <w:lang w:val="nl-NL"/>
        </w:rPr>
        <w:t>De assurance van de kwaliteit van het opdrachtniveau kan ook worden aangetoond doordat de CAE een kwaliteitsbewakings- en verbeterprogramma handhaaft en door de resultaten van enquêtes die feedback vragen over de opdrachtervaring van de personen die direct betrokken zijn bij de opdracht. Internal auditors kunnen de gelegenheid hebben feedback te geven over de toezichthouder van de opdracht via mechanismen voor intercollegiale beoordeling, zoals enquêtes.</w:t>
      </w:r>
    </w:p>
    <w:p w:rsidR="002F57B5" w:rsidRPr="003E0CEA" w:rsidRDefault="00685768" w:rsidP="002F57B5">
      <w:pPr>
        <w:pStyle w:val="TemplateHeadline"/>
        <w:rPr>
          <w:rFonts w:asciiTheme="minorHAnsi" w:hAnsiTheme="minorHAnsi" w:cstheme="minorHAnsi"/>
          <w:lang w:val="nl-NL"/>
        </w:rPr>
      </w:pPr>
      <w:r w:rsidRPr="003E0CEA">
        <w:rPr>
          <w:rFonts w:asciiTheme="minorHAnsi" w:hAnsiTheme="minorHAnsi" w:cstheme="minorHAnsi"/>
          <w:noProof/>
          <w:lang w:val="nl-NL" w:eastAsia="nl-NL"/>
        </w:rPr>
        <w:lastRenderedPageBreak/>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3810000</wp:posOffset>
                </wp:positionV>
                <wp:extent cx="6400800" cy="516255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62550"/>
                        </a:xfrm>
                        <a:prstGeom prst="rect">
                          <a:avLst/>
                        </a:prstGeom>
                        <a:solidFill>
                          <a:sysClr val="window" lastClr="FFFFFF">
                            <a:lumMod val="85000"/>
                          </a:sysClr>
                        </a:solid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0pt;width:7in;height:406.5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r w:rsidRPr="003E0CEA">
        <w:rPr>
          <w:rFonts w:asciiTheme="minorHAnsi" w:hAnsiTheme="minorHAnsi" w:cstheme="minorHAnsi"/>
          <w:color w:val="000000"/>
          <w:sz w:val="24"/>
          <w:szCs w:val="24"/>
          <w:lang w:val="nl-NL"/>
        </w:rPr>
        <w:t xml:space="preserve"> </w:t>
      </w:r>
    </w:p>
    <w:sectPr w:rsidR="002F57B5" w:rsidRPr="003E0CEA"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3E0CEA">
      <w:rPr>
        <w:rStyle w:val="Paginanummer"/>
        <w:noProof/>
        <w:color w:val="535953"/>
        <w:sz w:val="16"/>
        <w:szCs w:val="16"/>
      </w:rPr>
      <w:t>4</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3E0CEA">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page">
                <wp:posOffset>914400</wp:posOffset>
              </wp:positionH>
              <wp:positionV relativeFrom="page">
                <wp:posOffset>610870</wp:posOffset>
              </wp:positionV>
              <wp:extent cx="6172200" cy="284480"/>
              <wp:effectExtent l="0" t="0" r="0" b="0"/>
              <wp:wrapThrough wrapText="bothSides">
                <wp:wrapPolygon edited="0">
                  <wp:start x="89" y="0"/>
                  <wp:lineTo x="89" y="19286"/>
                  <wp:lineTo x="21422" y="19286"/>
                  <wp:lineTo x="21422" y="0"/>
                  <wp:lineTo x="89" y="0"/>
                </wp:wrapPolygon>
              </wp:wrapThrough>
              <wp:docPr id="3" name="Text Box 3"/>
              <wp:cNvGraphicFramePr/>
              <a:graphic xmlns:a="http://schemas.openxmlformats.org/drawingml/2006/main">
                <a:graphicData uri="http://schemas.microsoft.com/office/word/2010/wordprocessingShape">
                  <wps:wsp>
                    <wps:cNvSpPr txBox="1"/>
                    <wps:spPr>
                      <a:xfrm>
                        <a:off x="0" y="0"/>
                        <a:ext cx="6172200" cy="28448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3E0CEA">
                            <w:rPr>
                              <w:rFonts w:ascii="Arial" w:hAnsi="Arial" w:cs="Arial"/>
                              <w:color w:val="0F1F4B"/>
                              <w:lang w:val="nl-NL"/>
                            </w:rPr>
                            <w:t>2340 -</w:t>
                          </w:r>
                          <w:r w:rsidR="00923F7F" w:rsidRPr="00923F7F">
                            <w:rPr>
                              <w:rFonts w:ascii="Arial" w:hAnsi="Arial" w:cs="Arial"/>
                              <w:color w:val="0F1F4B"/>
                              <w:lang w:val="nl-NL"/>
                            </w:rPr>
                            <w:t xml:space="preserve"> Toezicht op de opdracht</w:t>
                          </w:r>
                        </w:p>
                      </w:txbxContent>
                    </wps:txbx>
                    <wps:bodyPr rot="0" spcFirstLastPara="0" vertOverflow="overflow" horzOverflow="overflow" vert="horz" wrap="square" numCol="1" spcCol="0" rtlCol="0" fromWordArt="0" anchor="t" anchorCtr="0" forceAA="0" compatLnSpc="1">
                      <a:prstTxWarp prst="textNoShape">
                        <a:avLst/>
                      </a:prstTxWarp>
                    </wps:bodyPr>
                  </wps:wsp>
                </a:graphicData>
              </a:graphic>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in;margin-top:48.1pt;width:486pt;height:22.4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" filled="f" stroked="f">
              <v:textbox>
                <w:txbxContent>
                  <w:p w:rsidR="002F57B5" w:rsidRPr="006227FD" w:rsidRDefault="002F57B5">
                    <w:pPr>
                      <w:rPr>
                        <w:rFonts w:ascii="Arial" w:hAnsi="Arial" w:cs="Arial"/>
                        <w:color w:val="002239" w:themeColor="text2" w:themeShade="80"/>
                      </w:rPr>
                    </w:pPr>
                    <w:r>
                      <w:rPr>
                        <w:rFonts w:ascii="Arial" w:hAnsi="Arial" w:cs="Arial"/>
                        <w:color w:val="0F1F4B"/>
                        <w:lang w:val="nl-NL"/>
                      </w:rPr>
                      <w:t xml:space="preserve">Implementatierichtlijn </w:t>
                    </w:r>
                    <w:r w:rsidR="003E0CEA">
                      <w:rPr>
                        <w:rFonts w:ascii="Arial" w:hAnsi="Arial" w:cs="Arial"/>
                        <w:color w:val="0F1F4B"/>
                        <w:lang w:val="nl-NL"/>
                      </w:rPr>
                      <w:t>2340 -</w:t>
                    </w:r>
                    <w:r w:rsidR="00923F7F" w:rsidRPr="00923F7F">
                      <w:rPr>
                        <w:rFonts w:ascii="Arial" w:hAnsi="Arial" w:cs="Arial"/>
                        <w:color w:val="0F1F4B"/>
                        <w:lang w:val="nl-NL"/>
                      </w:rPr>
                      <w:t xml:space="preserve"> Toezicht op de opdracht</w:t>
                    </w:r>
                  </w:p>
                </w:txbxContent>
              </v:textbox>
              <w10:wrap type="through" anchorx="page" anchory="page"/>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posOffset>0</wp:posOffset>
          </wp:positionH>
          <wp:positionV relativeFrom="page">
            <wp:posOffset>0</wp:posOffset>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posOffset>0</wp:posOffset>
          </wp:positionH>
          <wp:positionV relativeFrom="page">
            <wp:posOffset>0</wp:posOffset>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87CB7"/>
    <w:multiLevelType w:val="hybridMultilevel"/>
    <w:tmpl w:val="AE581550"/>
    <w:lvl w:ilvl="0" w:tplc="AE9E6CB6">
      <w:start w:val="1"/>
      <w:numFmt w:val="bullet"/>
      <w:lvlText w:val=""/>
      <w:lvlJc w:val="left"/>
      <w:pPr>
        <w:ind w:left="720" w:hanging="360"/>
      </w:pPr>
      <w:rPr>
        <w:rFonts w:ascii="Symbol" w:hAnsi="Symbol" w:hint="default"/>
      </w:rPr>
    </w:lvl>
    <w:lvl w:ilvl="1" w:tplc="F0ACA0F0" w:tentative="1">
      <w:start w:val="1"/>
      <w:numFmt w:val="bullet"/>
      <w:lvlText w:val="o"/>
      <w:lvlJc w:val="left"/>
      <w:pPr>
        <w:ind w:left="1440" w:hanging="360"/>
      </w:pPr>
      <w:rPr>
        <w:rFonts w:ascii="Courier New" w:hAnsi="Courier New" w:cs="Courier New" w:hint="default"/>
      </w:rPr>
    </w:lvl>
    <w:lvl w:ilvl="2" w:tplc="B32E9A76" w:tentative="1">
      <w:start w:val="1"/>
      <w:numFmt w:val="bullet"/>
      <w:lvlText w:val=""/>
      <w:lvlJc w:val="left"/>
      <w:pPr>
        <w:ind w:left="2160" w:hanging="360"/>
      </w:pPr>
      <w:rPr>
        <w:rFonts w:ascii="Wingdings" w:hAnsi="Wingdings" w:hint="default"/>
      </w:rPr>
    </w:lvl>
    <w:lvl w:ilvl="3" w:tplc="47923B10" w:tentative="1">
      <w:start w:val="1"/>
      <w:numFmt w:val="bullet"/>
      <w:lvlText w:val=""/>
      <w:lvlJc w:val="left"/>
      <w:pPr>
        <w:ind w:left="2880" w:hanging="360"/>
      </w:pPr>
      <w:rPr>
        <w:rFonts w:ascii="Symbol" w:hAnsi="Symbol" w:hint="default"/>
      </w:rPr>
    </w:lvl>
    <w:lvl w:ilvl="4" w:tplc="3854595C" w:tentative="1">
      <w:start w:val="1"/>
      <w:numFmt w:val="bullet"/>
      <w:lvlText w:val="o"/>
      <w:lvlJc w:val="left"/>
      <w:pPr>
        <w:ind w:left="3600" w:hanging="360"/>
      </w:pPr>
      <w:rPr>
        <w:rFonts w:ascii="Courier New" w:hAnsi="Courier New" w:cs="Courier New" w:hint="default"/>
      </w:rPr>
    </w:lvl>
    <w:lvl w:ilvl="5" w:tplc="8B6AFBFE" w:tentative="1">
      <w:start w:val="1"/>
      <w:numFmt w:val="bullet"/>
      <w:lvlText w:val=""/>
      <w:lvlJc w:val="left"/>
      <w:pPr>
        <w:ind w:left="4320" w:hanging="360"/>
      </w:pPr>
      <w:rPr>
        <w:rFonts w:ascii="Wingdings" w:hAnsi="Wingdings" w:hint="default"/>
      </w:rPr>
    </w:lvl>
    <w:lvl w:ilvl="6" w:tplc="FC829454" w:tentative="1">
      <w:start w:val="1"/>
      <w:numFmt w:val="bullet"/>
      <w:lvlText w:val=""/>
      <w:lvlJc w:val="left"/>
      <w:pPr>
        <w:ind w:left="5040" w:hanging="360"/>
      </w:pPr>
      <w:rPr>
        <w:rFonts w:ascii="Symbol" w:hAnsi="Symbol" w:hint="default"/>
      </w:rPr>
    </w:lvl>
    <w:lvl w:ilvl="7" w:tplc="E626E95E" w:tentative="1">
      <w:start w:val="1"/>
      <w:numFmt w:val="bullet"/>
      <w:lvlText w:val="o"/>
      <w:lvlJc w:val="left"/>
      <w:pPr>
        <w:ind w:left="5760" w:hanging="360"/>
      </w:pPr>
      <w:rPr>
        <w:rFonts w:ascii="Courier New" w:hAnsi="Courier New" w:cs="Courier New" w:hint="default"/>
      </w:rPr>
    </w:lvl>
    <w:lvl w:ilvl="8" w:tplc="7CC61D2A" w:tentative="1">
      <w:start w:val="1"/>
      <w:numFmt w:val="bullet"/>
      <w:lvlText w:val=""/>
      <w:lvlJc w:val="left"/>
      <w:pPr>
        <w:ind w:left="6480" w:hanging="360"/>
      </w:pPr>
      <w:rPr>
        <w:rFonts w:ascii="Wingdings" w:hAnsi="Wingdings" w:hint="default"/>
      </w:rPr>
    </w:lvl>
  </w:abstractNum>
  <w:abstractNum w:abstractNumId="1" w15:restartNumberingAfterBreak="0">
    <w:nsid w:val="0677467A"/>
    <w:multiLevelType w:val="hybridMultilevel"/>
    <w:tmpl w:val="F3B643AE"/>
    <w:lvl w:ilvl="0" w:tplc="F10C223A">
      <w:start w:val="1"/>
      <w:numFmt w:val="bullet"/>
      <w:lvlText w:val=""/>
      <w:lvlJc w:val="left"/>
      <w:pPr>
        <w:tabs>
          <w:tab w:val="num" w:pos="1440"/>
        </w:tabs>
        <w:ind w:left="1440" w:hanging="360"/>
      </w:pPr>
      <w:rPr>
        <w:rFonts w:ascii="Symbol" w:hAnsi="Symbol" w:hint="default"/>
        <w:color w:val="000000"/>
        <w:spacing w:val="8"/>
      </w:rPr>
    </w:lvl>
    <w:lvl w:ilvl="1" w:tplc="6BE48174" w:tentative="1">
      <w:start w:val="1"/>
      <w:numFmt w:val="bullet"/>
      <w:lvlText w:val="o"/>
      <w:lvlJc w:val="left"/>
      <w:pPr>
        <w:tabs>
          <w:tab w:val="num" w:pos="2160"/>
        </w:tabs>
        <w:ind w:left="2160" w:hanging="360"/>
      </w:pPr>
      <w:rPr>
        <w:rFonts w:ascii="Courier New" w:hAnsi="Courier New" w:cs="Courier New" w:hint="default"/>
      </w:rPr>
    </w:lvl>
    <w:lvl w:ilvl="2" w:tplc="A6D4B852" w:tentative="1">
      <w:start w:val="1"/>
      <w:numFmt w:val="bullet"/>
      <w:lvlText w:val=""/>
      <w:lvlJc w:val="left"/>
      <w:pPr>
        <w:tabs>
          <w:tab w:val="num" w:pos="2880"/>
        </w:tabs>
        <w:ind w:left="2880" w:hanging="360"/>
      </w:pPr>
      <w:rPr>
        <w:rFonts w:ascii="Wingdings" w:hAnsi="Wingdings" w:hint="default"/>
      </w:rPr>
    </w:lvl>
    <w:lvl w:ilvl="3" w:tplc="B566A530" w:tentative="1">
      <w:start w:val="1"/>
      <w:numFmt w:val="bullet"/>
      <w:lvlText w:val=""/>
      <w:lvlJc w:val="left"/>
      <w:pPr>
        <w:tabs>
          <w:tab w:val="num" w:pos="3600"/>
        </w:tabs>
        <w:ind w:left="3600" w:hanging="360"/>
      </w:pPr>
      <w:rPr>
        <w:rFonts w:ascii="Symbol" w:hAnsi="Symbol" w:hint="default"/>
      </w:rPr>
    </w:lvl>
    <w:lvl w:ilvl="4" w:tplc="8A904F76" w:tentative="1">
      <w:start w:val="1"/>
      <w:numFmt w:val="bullet"/>
      <w:lvlText w:val="o"/>
      <w:lvlJc w:val="left"/>
      <w:pPr>
        <w:tabs>
          <w:tab w:val="num" w:pos="4320"/>
        </w:tabs>
        <w:ind w:left="4320" w:hanging="360"/>
      </w:pPr>
      <w:rPr>
        <w:rFonts w:ascii="Courier New" w:hAnsi="Courier New" w:cs="Courier New" w:hint="default"/>
      </w:rPr>
    </w:lvl>
    <w:lvl w:ilvl="5" w:tplc="B1CC6104" w:tentative="1">
      <w:start w:val="1"/>
      <w:numFmt w:val="bullet"/>
      <w:lvlText w:val=""/>
      <w:lvlJc w:val="left"/>
      <w:pPr>
        <w:tabs>
          <w:tab w:val="num" w:pos="5040"/>
        </w:tabs>
        <w:ind w:left="5040" w:hanging="360"/>
      </w:pPr>
      <w:rPr>
        <w:rFonts w:ascii="Wingdings" w:hAnsi="Wingdings" w:hint="default"/>
      </w:rPr>
    </w:lvl>
    <w:lvl w:ilvl="6" w:tplc="5A943490" w:tentative="1">
      <w:start w:val="1"/>
      <w:numFmt w:val="bullet"/>
      <w:lvlText w:val=""/>
      <w:lvlJc w:val="left"/>
      <w:pPr>
        <w:tabs>
          <w:tab w:val="num" w:pos="5760"/>
        </w:tabs>
        <w:ind w:left="5760" w:hanging="360"/>
      </w:pPr>
      <w:rPr>
        <w:rFonts w:ascii="Symbol" w:hAnsi="Symbol" w:hint="default"/>
      </w:rPr>
    </w:lvl>
    <w:lvl w:ilvl="7" w:tplc="CDA4970C" w:tentative="1">
      <w:start w:val="1"/>
      <w:numFmt w:val="bullet"/>
      <w:lvlText w:val="o"/>
      <w:lvlJc w:val="left"/>
      <w:pPr>
        <w:tabs>
          <w:tab w:val="num" w:pos="6480"/>
        </w:tabs>
        <w:ind w:left="6480" w:hanging="360"/>
      </w:pPr>
      <w:rPr>
        <w:rFonts w:ascii="Courier New" w:hAnsi="Courier New" w:cs="Courier New" w:hint="default"/>
      </w:rPr>
    </w:lvl>
    <w:lvl w:ilvl="8" w:tplc="1038A98C" w:tentative="1">
      <w:start w:val="1"/>
      <w:numFmt w:val="bullet"/>
      <w:lvlText w:val=""/>
      <w:lvlJc w:val="left"/>
      <w:pPr>
        <w:tabs>
          <w:tab w:val="num" w:pos="7200"/>
        </w:tabs>
        <w:ind w:left="7200" w:hanging="360"/>
      </w:pPr>
      <w:rPr>
        <w:rFonts w:ascii="Wingdings" w:hAnsi="Wingdings" w:hint="default"/>
      </w:rPr>
    </w:lvl>
  </w:abstractNum>
  <w:abstractNum w:abstractNumId="2"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3"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4"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284E07"/>
    <w:rsid w:val="002F57B5"/>
    <w:rsid w:val="003959E0"/>
    <w:rsid w:val="003E0CEA"/>
    <w:rsid w:val="005C501B"/>
    <w:rsid w:val="00685768"/>
    <w:rsid w:val="0070624F"/>
    <w:rsid w:val="00923F7F"/>
    <w:rsid w:val="00963DFA"/>
    <w:rsid w:val="009C730B"/>
    <w:rsid w:val="00B9149D"/>
    <w:rsid w:val="00C6368B"/>
    <w:rsid w:val="00E269AE"/>
    <w:rsid w:val="00FE4706"/>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E269AE"/>
    <w:pPr>
      <w:numPr>
        <w:numId w:val="3"/>
      </w:numPr>
    </w:pPr>
    <w:rPr>
      <w:rFonts w:asciiTheme="majorHAnsi" w:hAnsiTheme="majorHAnsi"/>
    </w:r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Lijstalinea">
    <w:name w:val="List Paragraph"/>
    <w:basedOn w:val="Standaard"/>
    <w:uiPriority w:val="34"/>
    <w:qFormat/>
    <w:rsid w:val="00E269AE"/>
    <w:pPr>
      <w:ind w:left="720"/>
      <w:contextualSpacing/>
    </w:pPr>
    <w:rPr>
      <w:rFonts w:ascii="Times New Roman" w:eastAsia="Times New Roman" w:hAnsi="Times New Roman" w:cs="Times New Roman"/>
      <w:sz w:val="20"/>
      <w:szCs w:val="20"/>
    </w:rPr>
  </w:style>
  <w:style w:type="character" w:customStyle="1" w:styleId="TemplateBodyTextChar">
    <w:name w:val="Template Body Text Char"/>
    <w:basedOn w:val="PlattetekstChar"/>
    <w:link w:val="TemplateBodyText"/>
    <w:uiPriority w:val="99"/>
    <w:rsid w:val="003959E0"/>
    <w:rPr>
      <w:rFonts w:ascii="ArialMT" w:hAnsi="ArialMT" w:cs="ArialMT"/>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3CDFA8-CE40-49F0-9B77-67C9B494285D}">
  <ds:schemaRefs>
    <ds:schemaRef ds:uri="http://schemas.openxmlformats.org/officeDocument/2006/bibliography"/>
  </ds:schemaRefs>
</ds:datastoreItem>
</file>

<file path=customXml/itemProps2.xml><?xml version="1.0" encoding="utf-8"?>
<ds:datastoreItem xmlns:ds="http://schemas.openxmlformats.org/officeDocument/2006/customXml" ds:itemID="{6BDE0C8F-B367-48BA-82B9-12A30FD39503}"/>
</file>

<file path=customXml/itemProps3.xml><?xml version="1.0" encoding="utf-8"?>
<ds:datastoreItem xmlns:ds="http://schemas.openxmlformats.org/officeDocument/2006/customXml" ds:itemID="{FFE4BAED-431F-4BBB-88F8-AB5474495A9D}"/>
</file>

<file path=customXml/itemProps4.xml><?xml version="1.0" encoding="utf-8"?>
<ds:datastoreItem xmlns:ds="http://schemas.openxmlformats.org/officeDocument/2006/customXml" ds:itemID="{CFF9872D-9FFD-460C-BAE5-A37AB8ADBBB5}"/>
</file>

<file path=docProps/app.xml><?xml version="1.0" encoding="utf-8"?>
<Properties xmlns="http://schemas.openxmlformats.org/officeDocument/2006/extended-properties" xmlns:vt="http://schemas.openxmlformats.org/officeDocument/2006/docPropsVTypes">
  <Template>BA389226</Template>
  <TotalTime>3</TotalTime>
  <Pages>5</Pages>
  <Words>1083</Words>
  <Characters>5959</Characters>
  <Application>Microsoft Office Word</Application>
  <DocSecurity>0</DocSecurity>
  <Lines>49</Lines>
  <Paragraphs>14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7028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Michael Citro</dc:creator>
  <cp:lastModifiedBy>Linda Poort</cp:lastModifiedBy>
  <cp:revision>5</cp:revision>
  <dcterms:created xsi:type="dcterms:W3CDTF">2017-08-21T10:42:00Z</dcterms:created>
  <dcterms:modified xsi:type="dcterms:W3CDTF">2017-08-21T14:04:00Z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