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1BE" w:rsidRPr="00D50F2C" w:rsidRDefault="002B0D0A" w:rsidP="00AF61BE">
      <w:pPr>
        <w:pStyle w:val="TemplateHeadline"/>
        <w:rPr>
          <w:rFonts w:asciiTheme="minorHAnsi" w:hAnsiTheme="minorHAnsi" w:cstheme="minorHAnsi"/>
        </w:rPr>
      </w:pPr>
      <w:r w:rsidRPr="00D50F2C">
        <w:rPr>
          <w:rFonts w:asciiTheme="minorHAnsi" w:hAnsiTheme="minorHAnsi" w:cstheme="minorHAnsi"/>
          <w:noProof/>
          <w:lang w:val="nl-NL" w:eastAsia="nl-NL"/>
        </w:rPr>
        <mc:AlternateContent>
          <mc:Choice Requires="wps">
            <w:drawing>
              <wp:anchor distT="2103120" distB="274320" distL="114300" distR="114300" simplePos="0" relativeHeight="251660288" behindDoc="0" locked="0" layoutInCell="1" allowOverlap="1">
                <wp:simplePos x="0" y="0"/>
                <wp:positionH relativeFrom="margin">
                  <wp:align>right</wp:align>
                </wp:positionH>
                <wp:positionV relativeFrom="margin">
                  <wp:posOffset>1619250</wp:posOffset>
                </wp:positionV>
                <wp:extent cx="6400800" cy="20383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20383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61C77" w:rsidRPr="00D24D8B" w:rsidRDefault="002B0D0A" w:rsidP="00B61C77">
                            <w:pPr>
                              <w:pStyle w:val="TemplateHeadline"/>
                              <w:rPr>
                                <w:rFonts w:asciiTheme="majorHAnsi" w:hAnsiTheme="majorHAnsi" w:cstheme="majorHAnsi"/>
                              </w:rPr>
                            </w:pPr>
                            <w:r>
                              <w:rPr>
                                <w:rFonts w:asciiTheme="majorHAnsi" w:hAnsiTheme="majorHAnsi" w:cstheme="majorHAnsi"/>
                                <w:lang w:val="nl-NL"/>
                              </w:rPr>
                              <w:t>Standaard 1111 - Directe interactie met het bestuur</w:t>
                            </w:r>
                          </w:p>
                          <w:p w:rsidR="00780FBC" w:rsidRPr="004478B1" w:rsidRDefault="002B0D0A" w:rsidP="00575679">
                            <w:pPr>
                              <w:pStyle w:val="RedBullets"/>
                              <w:numPr>
                                <w:ilvl w:val="0"/>
                                <w:numId w:val="0"/>
                              </w:numPr>
                              <w:rPr>
                                <w:rFonts w:asciiTheme="majorHAnsi" w:hAnsiTheme="majorHAnsi" w:cstheme="majorHAnsi"/>
                                <w:sz w:val="22"/>
                                <w:szCs w:val="22"/>
                              </w:rPr>
                            </w:pPr>
                            <w:r w:rsidRPr="004478B1">
                              <w:rPr>
                                <w:rFonts w:asciiTheme="majorHAnsi" w:hAnsiTheme="majorHAnsi" w:cstheme="majorHAnsi"/>
                                <w:sz w:val="22"/>
                                <w:szCs w:val="22"/>
                                <w:lang w:val="nl-NL"/>
                              </w:rPr>
                              <w:t>Het hoofd van de internal auditfunctie moet rechtstreeks communiceren en samenwerken met het bestuur.</w:t>
                            </w:r>
                          </w:p>
                          <w:p w:rsidR="00096B60" w:rsidRPr="004478B1" w:rsidRDefault="009110EB" w:rsidP="00575679">
                            <w:pPr>
                              <w:pStyle w:val="RedBullets"/>
                              <w:numPr>
                                <w:ilvl w:val="0"/>
                                <w:numId w:val="0"/>
                              </w:numPr>
                              <w:rPr>
                                <w:rFonts w:asciiTheme="majorHAnsi" w:hAnsiTheme="majorHAnsi" w:cstheme="majorHAnsi"/>
                                <w:sz w:val="22"/>
                                <w:szCs w:val="22"/>
                              </w:rPr>
                            </w:pPr>
                          </w:p>
                          <w:p w:rsidR="00096B60" w:rsidRPr="004478B1" w:rsidRDefault="002B0D0A" w:rsidP="00096B60">
                            <w:pPr>
                              <w:pStyle w:val="RedBullets"/>
                              <w:numPr>
                                <w:ilvl w:val="0"/>
                                <w:numId w:val="0"/>
                              </w:numPr>
                              <w:jc w:val="right"/>
                              <w:rPr>
                                <w:rFonts w:asciiTheme="majorHAnsi" w:hAnsiTheme="majorHAnsi" w:cstheme="majorHAnsi"/>
                                <w:sz w:val="22"/>
                                <w:szCs w:val="22"/>
                              </w:rPr>
                            </w:pPr>
                            <w:r w:rsidRPr="004478B1">
                              <w:rPr>
                                <w:rFonts w:asciiTheme="majorHAnsi" w:hAnsiTheme="majorHAnsi" w:cstheme="majorHAnsi"/>
                                <w:sz w:val="22"/>
                                <w:szCs w:val="22"/>
                                <w:lang w:val="nl-NL"/>
                              </w:rPr>
                              <w:t xml:space="preserve">Herziene </w:t>
                            </w:r>
                            <w:bookmarkStart w:id="0" w:name="_GoBack"/>
                            <w:r w:rsidRPr="009110EB">
                              <w:rPr>
                                <w:rFonts w:asciiTheme="majorHAnsi" w:hAnsiTheme="majorHAnsi" w:cstheme="majorHAnsi"/>
                                <w:i/>
                                <w:sz w:val="22"/>
                                <w:szCs w:val="22"/>
                                <w:lang w:val="nl-NL"/>
                              </w:rPr>
                              <w:t>Standaarden</w:t>
                            </w:r>
                            <w:r w:rsidRPr="004478B1">
                              <w:rPr>
                                <w:rFonts w:asciiTheme="majorHAnsi" w:hAnsiTheme="majorHAnsi" w:cstheme="majorHAnsi"/>
                                <w:sz w:val="22"/>
                                <w:szCs w:val="22"/>
                                <w:lang w:val="nl-NL"/>
                              </w:rPr>
                              <w:t xml:space="preserve"> </w:t>
                            </w:r>
                            <w:bookmarkEnd w:id="0"/>
                            <w:r w:rsidRPr="004478B1">
                              <w:rPr>
                                <w:rFonts w:asciiTheme="majorHAnsi" w:hAnsiTheme="majorHAnsi" w:cstheme="majorHAnsi"/>
                                <w:sz w:val="22"/>
                                <w:szCs w:val="22"/>
                                <w:lang w:val="nl-NL"/>
                              </w:rPr>
                              <w:t xml:space="preserve">die per 1 januari 2017 van kracht zijn </w:t>
                            </w:r>
                          </w:p>
                          <w:p w:rsidR="00575679" w:rsidRPr="004478B1" w:rsidRDefault="009110EB" w:rsidP="00575679">
                            <w:pPr>
                              <w:pStyle w:val="RedBullets"/>
                              <w:numPr>
                                <w:ilvl w:val="0"/>
                                <w:numId w:val="0"/>
                              </w:numPr>
                              <w:rPr>
                                <w:rFonts w:asciiTheme="majorHAnsi" w:hAnsiTheme="majorHAnsi" w:cstheme="majorHAnsi"/>
                                <w:sz w:val="22"/>
                                <w:szCs w:val="22"/>
                              </w:rPr>
                            </w:pPr>
                          </w:p>
                          <w:p w:rsidR="00B01FFE" w:rsidRPr="00575679" w:rsidRDefault="009110EB" w:rsidP="00E644AB">
                            <w:pPr>
                              <w:pStyle w:val="RedBullets"/>
                              <w:numPr>
                                <w:ilvl w:val="0"/>
                                <w:numId w:val="0"/>
                              </w:numPr>
                              <w:rPr>
                                <w:rFonts w:asciiTheme="majorHAnsi" w:hAnsiTheme="majorHAnsi" w:cstheme="majorHAnsi"/>
                                <w:i/>
                              </w:rPr>
                            </w:pP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2.8pt;margin-top:127.5pt;width:7in;height:160.5pt;z-index:251660288;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" fillcolor="#d8d8d8 [2732]" stroked="f">
                <v:textbox inset="14.4pt,23.76pt,14.4pt,23.76pt">
                  <w:txbxContent>
                    <w:p w:rsidR="00B61C77" w:rsidRPr="00D24D8B" w:rsidRDefault="002B0D0A" w:rsidP="00B61C77">
                      <w:pPr>
                        <w:pStyle w:val="TemplateHeadline"/>
                        <w:rPr>
                          <w:rFonts w:asciiTheme="majorHAnsi" w:hAnsiTheme="majorHAnsi" w:cstheme="majorHAnsi"/>
                        </w:rPr>
                      </w:pPr>
                      <w:r>
                        <w:rPr>
                          <w:rFonts w:asciiTheme="majorHAnsi" w:hAnsiTheme="majorHAnsi" w:cstheme="majorHAnsi"/>
                          <w:lang w:val="nl-NL"/>
                        </w:rPr>
                        <w:t>Standaard 1111 - Directe interactie met het bestuur</w:t>
                      </w:r>
                    </w:p>
                    <w:p w:rsidR="00780FBC" w:rsidRPr="004478B1" w:rsidRDefault="002B0D0A" w:rsidP="00575679">
                      <w:pPr>
                        <w:pStyle w:val="RedBullets"/>
                        <w:numPr>
                          <w:ilvl w:val="0"/>
                          <w:numId w:val="0"/>
                        </w:numPr>
                        <w:rPr>
                          <w:rFonts w:asciiTheme="majorHAnsi" w:hAnsiTheme="majorHAnsi" w:cstheme="majorHAnsi"/>
                          <w:sz w:val="22"/>
                          <w:szCs w:val="22"/>
                        </w:rPr>
                      </w:pPr>
                      <w:r w:rsidRPr="004478B1">
                        <w:rPr>
                          <w:rFonts w:asciiTheme="majorHAnsi" w:hAnsiTheme="majorHAnsi" w:cstheme="majorHAnsi"/>
                          <w:sz w:val="22"/>
                          <w:szCs w:val="22"/>
                          <w:lang w:val="nl-NL"/>
                        </w:rPr>
                        <w:t>Het hoofd van de internal auditfunctie moet rechtstreeks communiceren en samenwerken met het bestuur.</w:t>
                      </w:r>
                    </w:p>
                    <w:p w:rsidR="00096B60" w:rsidRPr="004478B1" w:rsidRDefault="009110EB" w:rsidP="00575679">
                      <w:pPr>
                        <w:pStyle w:val="RedBullets"/>
                        <w:numPr>
                          <w:ilvl w:val="0"/>
                          <w:numId w:val="0"/>
                        </w:numPr>
                        <w:rPr>
                          <w:rFonts w:asciiTheme="majorHAnsi" w:hAnsiTheme="majorHAnsi" w:cstheme="majorHAnsi"/>
                          <w:sz w:val="22"/>
                          <w:szCs w:val="22"/>
                        </w:rPr>
                      </w:pPr>
                    </w:p>
                    <w:p w:rsidR="00096B60" w:rsidRPr="004478B1" w:rsidRDefault="002B0D0A" w:rsidP="00096B60">
                      <w:pPr>
                        <w:pStyle w:val="RedBullets"/>
                        <w:numPr>
                          <w:ilvl w:val="0"/>
                          <w:numId w:val="0"/>
                        </w:numPr>
                        <w:jc w:val="right"/>
                        <w:rPr>
                          <w:rFonts w:asciiTheme="majorHAnsi" w:hAnsiTheme="majorHAnsi" w:cstheme="majorHAnsi"/>
                          <w:sz w:val="22"/>
                          <w:szCs w:val="22"/>
                        </w:rPr>
                      </w:pPr>
                      <w:r w:rsidRPr="004478B1">
                        <w:rPr>
                          <w:rFonts w:asciiTheme="majorHAnsi" w:hAnsiTheme="majorHAnsi" w:cstheme="majorHAnsi"/>
                          <w:sz w:val="22"/>
                          <w:szCs w:val="22"/>
                          <w:lang w:val="nl-NL"/>
                        </w:rPr>
                        <w:t xml:space="preserve">Herziene </w:t>
                      </w:r>
                      <w:bookmarkStart w:id="1" w:name="_GoBack"/>
                      <w:r w:rsidRPr="009110EB">
                        <w:rPr>
                          <w:rFonts w:asciiTheme="majorHAnsi" w:hAnsiTheme="majorHAnsi" w:cstheme="majorHAnsi"/>
                          <w:i/>
                          <w:sz w:val="22"/>
                          <w:szCs w:val="22"/>
                          <w:lang w:val="nl-NL"/>
                        </w:rPr>
                        <w:t>Standaarden</w:t>
                      </w:r>
                      <w:r w:rsidRPr="004478B1">
                        <w:rPr>
                          <w:rFonts w:asciiTheme="majorHAnsi" w:hAnsiTheme="majorHAnsi" w:cstheme="majorHAnsi"/>
                          <w:sz w:val="22"/>
                          <w:szCs w:val="22"/>
                          <w:lang w:val="nl-NL"/>
                        </w:rPr>
                        <w:t xml:space="preserve"> </w:t>
                      </w:r>
                      <w:bookmarkEnd w:id="1"/>
                      <w:r w:rsidRPr="004478B1">
                        <w:rPr>
                          <w:rFonts w:asciiTheme="majorHAnsi" w:hAnsiTheme="majorHAnsi" w:cstheme="majorHAnsi"/>
                          <w:sz w:val="22"/>
                          <w:szCs w:val="22"/>
                          <w:lang w:val="nl-NL"/>
                        </w:rPr>
                        <w:t xml:space="preserve">die per 1 januari 2017 van kracht zijn </w:t>
                      </w:r>
                    </w:p>
                    <w:p w:rsidR="00575679" w:rsidRPr="004478B1" w:rsidRDefault="009110EB" w:rsidP="00575679">
                      <w:pPr>
                        <w:pStyle w:val="RedBullets"/>
                        <w:numPr>
                          <w:ilvl w:val="0"/>
                          <w:numId w:val="0"/>
                        </w:numPr>
                        <w:rPr>
                          <w:rFonts w:asciiTheme="majorHAnsi" w:hAnsiTheme="majorHAnsi" w:cstheme="majorHAnsi"/>
                          <w:sz w:val="22"/>
                          <w:szCs w:val="22"/>
                        </w:rPr>
                      </w:pPr>
                    </w:p>
                    <w:p w:rsidR="00B01FFE" w:rsidRPr="00575679" w:rsidRDefault="009110EB" w:rsidP="00E644AB">
                      <w:pPr>
                        <w:pStyle w:val="RedBullets"/>
                        <w:numPr>
                          <w:ilvl w:val="0"/>
                          <w:numId w:val="0"/>
                        </w:numPr>
                        <w:rPr>
                          <w:rFonts w:asciiTheme="majorHAnsi" w:hAnsiTheme="majorHAnsi" w:cstheme="majorHAnsi"/>
                          <w:i/>
                        </w:rPr>
                      </w:pPr>
                    </w:p>
                  </w:txbxContent>
                </v:textbox>
                <w10:wrap type="square" anchorx="margin" anchory="margin"/>
              </v:shape>
            </w:pict>
          </mc:Fallback>
        </mc:AlternateContent>
      </w:r>
      <w:r w:rsidRPr="00D50F2C">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simplePos x="0" y="0"/>
                <wp:positionH relativeFrom="page">
                  <wp:posOffset>2514600</wp:posOffset>
                </wp:positionH>
                <wp:positionV relativeFrom="page">
                  <wp:posOffset>914400</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61C77" w:rsidRPr="00E6381B" w:rsidRDefault="002B0D0A"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1111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id="Text Box 6" o:spid="_x0000_s1027" type="#_x0000_t202" style="position:absolute;margin-left:198pt;margin-top:1in;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" filled="f" stroked="f">
                <v:textbox>
                  <w:txbxContent>
                    <w:p w:rsidR="00B61C77" w:rsidRPr="00E6381B" w:rsidRDefault="002B0D0A" w:rsidP="00B61C77">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Implementatierichtlijn 1111</w:t>
                      </w:r>
                    </w:p>
                  </w:txbxContent>
                </v:textbox>
                <w10:wrap type="square" anchorx="page" anchory="page"/>
              </v:shape>
            </w:pict>
          </mc:Fallback>
        </mc:AlternateContent>
      </w:r>
      <w:r w:rsidRPr="00D50F2C">
        <w:rPr>
          <w:rFonts w:asciiTheme="minorHAnsi" w:hAnsiTheme="minorHAnsi" w:cstheme="minorHAnsi"/>
          <w:lang w:val="nl-NL"/>
        </w:rPr>
        <w:t xml:space="preserve">Inleiding </w:t>
      </w:r>
    </w:p>
    <w:p w:rsidR="00A04BF7" w:rsidRPr="00D50F2C" w:rsidRDefault="002B0D0A" w:rsidP="00034A0A">
      <w:pPr>
        <w:pStyle w:val="TemplateBodyText"/>
        <w:rPr>
          <w:rFonts w:asciiTheme="minorHAnsi" w:hAnsiTheme="minorHAnsi" w:cstheme="minorHAnsi"/>
          <w:sz w:val="22"/>
          <w:szCs w:val="22"/>
        </w:rPr>
      </w:pPr>
      <w:r w:rsidRPr="00D50F2C">
        <w:rPr>
          <w:rFonts w:asciiTheme="minorHAnsi" w:hAnsiTheme="minorHAnsi" w:cstheme="minorHAnsi"/>
          <w:sz w:val="22"/>
          <w:szCs w:val="22"/>
          <w:lang w:val="nl-NL"/>
        </w:rPr>
        <w:t xml:space="preserve">In het algemeen komen het hoofd van de internal auditfunctie (Chief Audit Executive (CAE)), het bestuur en het senior management tot een gezamenlijke visie op de verantwoordelijkheden, bevoegdheden en verwachtingen van de internal auditfunctie, alsmede de positionering van de internal auditfunctie binnen de organisatie en de rapportagelijnen van de CAE die vereist zijn om de functie in staat te stellen haar taken te vervullen. De rapportagerelatie omvat meestal een rechtstreekse functionele rapportagelijn naar het bestuur. Nadere richtsnoeren hiervoor zijn te vinden in Implementatierichtlijn 1100 </w:t>
      </w:r>
      <w:r w:rsidRPr="00D50F2C">
        <w:rPr>
          <w:rFonts w:asciiTheme="minorHAnsi" w:hAnsiTheme="minorHAnsi" w:cstheme="minorHAnsi"/>
          <w:i/>
          <w:iCs/>
          <w:sz w:val="22"/>
          <w:szCs w:val="22"/>
          <w:lang w:val="nl-NL"/>
        </w:rPr>
        <w:t xml:space="preserve">Onafhankelijkheid en objectiviteit </w:t>
      </w:r>
      <w:r w:rsidRPr="00D50F2C">
        <w:rPr>
          <w:rFonts w:asciiTheme="minorHAnsi" w:hAnsiTheme="minorHAnsi" w:cstheme="minorHAnsi"/>
          <w:sz w:val="22"/>
          <w:szCs w:val="22"/>
          <w:lang w:val="nl-NL"/>
        </w:rPr>
        <w:t xml:space="preserve">en Implementatierichtlijn 1110 </w:t>
      </w:r>
      <w:r w:rsidRPr="00D50F2C">
        <w:rPr>
          <w:rFonts w:asciiTheme="minorHAnsi" w:hAnsiTheme="minorHAnsi" w:cstheme="minorHAnsi"/>
          <w:i/>
          <w:iCs/>
          <w:sz w:val="22"/>
          <w:szCs w:val="22"/>
          <w:lang w:val="nl-NL"/>
        </w:rPr>
        <w:t>Organisatorische onafhankelijkheid</w:t>
      </w:r>
      <w:r w:rsidRPr="00D50F2C">
        <w:rPr>
          <w:rFonts w:asciiTheme="minorHAnsi" w:hAnsiTheme="minorHAnsi" w:cstheme="minorHAnsi"/>
          <w:sz w:val="22"/>
          <w:szCs w:val="22"/>
          <w:lang w:val="nl-NL"/>
        </w:rPr>
        <w:t>.</w:t>
      </w:r>
      <w:r w:rsidRPr="00D50F2C">
        <w:rPr>
          <w:rFonts w:asciiTheme="minorHAnsi" w:hAnsiTheme="minorHAnsi" w:cstheme="minorHAnsi"/>
          <w:sz w:val="22"/>
          <w:szCs w:val="22"/>
          <w:lang w:val="nl-NL"/>
        </w:rPr>
        <w:br/>
      </w:r>
    </w:p>
    <w:p w:rsidR="00A04BF7" w:rsidRPr="00D50F2C" w:rsidRDefault="002B0D0A" w:rsidP="00A04BF7">
      <w:pPr>
        <w:pStyle w:val="TemplateHeadline"/>
        <w:rPr>
          <w:rFonts w:asciiTheme="minorHAnsi" w:hAnsiTheme="minorHAnsi" w:cstheme="minorHAnsi"/>
        </w:rPr>
      </w:pPr>
      <w:r w:rsidRPr="00D50F2C">
        <w:rPr>
          <w:rFonts w:asciiTheme="minorHAnsi" w:hAnsiTheme="minorHAnsi" w:cstheme="minorHAnsi"/>
          <w:lang w:val="nl-NL"/>
        </w:rPr>
        <w:t>Overwegingen bij de implementatie</w:t>
      </w:r>
    </w:p>
    <w:p w:rsidR="00034A0A" w:rsidRPr="00D50F2C" w:rsidRDefault="002B0D0A" w:rsidP="00034A0A">
      <w:pPr>
        <w:pStyle w:val="TemplateBodyText"/>
        <w:rPr>
          <w:rFonts w:asciiTheme="minorHAnsi" w:hAnsiTheme="minorHAnsi" w:cstheme="minorHAnsi"/>
          <w:sz w:val="22"/>
          <w:szCs w:val="22"/>
        </w:rPr>
      </w:pPr>
      <w:r w:rsidRPr="00D50F2C">
        <w:rPr>
          <w:rFonts w:asciiTheme="minorHAnsi" w:hAnsiTheme="minorHAnsi" w:cstheme="minorHAnsi"/>
          <w:sz w:val="22"/>
          <w:szCs w:val="22"/>
          <w:lang w:val="nl-NL"/>
        </w:rPr>
        <w:t xml:space="preserve">Als de CAE een rechtstreekse functionele rapportagerelatie met het bestuur heeft, is het bestuur verantwoordelijk voor de goedkeuring van het internal auditcharter en het budget en middelenplan van </w:t>
      </w:r>
      <w:r w:rsidRPr="00D50F2C">
        <w:rPr>
          <w:rFonts w:asciiTheme="minorHAnsi" w:hAnsiTheme="minorHAnsi" w:cstheme="minorHAnsi"/>
          <w:sz w:val="22"/>
          <w:szCs w:val="22"/>
          <w:lang w:val="nl-NL"/>
        </w:rPr>
        <w:lastRenderedPageBreak/>
        <w:t xml:space="preserve">de internal auditfunctie, alsmede de beoordeling en beloning en de aanstelling en het ontslag van de CAE. Daarnaast houdt het bestuur toezicht op het vermogen van de internal auditfunctie om onafhankelijk te opereren en haar charter na te leven. </w:t>
      </w:r>
    </w:p>
    <w:p w:rsidR="00034A0A" w:rsidRPr="00D50F2C" w:rsidRDefault="002B0D0A" w:rsidP="00034A0A">
      <w:pPr>
        <w:pStyle w:val="TemplateBodyText"/>
        <w:rPr>
          <w:rFonts w:asciiTheme="minorHAnsi" w:hAnsiTheme="minorHAnsi" w:cstheme="minorHAnsi"/>
          <w:sz w:val="22"/>
          <w:szCs w:val="22"/>
        </w:rPr>
      </w:pPr>
      <w:r w:rsidRPr="00D50F2C">
        <w:rPr>
          <w:rFonts w:asciiTheme="minorHAnsi" w:hAnsiTheme="minorHAnsi" w:cstheme="minorHAnsi"/>
          <w:sz w:val="22"/>
          <w:szCs w:val="22"/>
          <w:lang w:val="nl-NL"/>
        </w:rPr>
        <w:t xml:space="preserve">Een dergelijke rapportagerelatie biedt de CAE veel gelegenheden voor communicatie en rechtstreekse interactie met het bestuur conform Standaard 1111. De CAE neemt bijvoorbeeld deel aan de vergaderingen van de auditcommissie en/of het bestuur, die meestal ieder kwartaal plaatsvinden, om zaken te bespreken als het voorgestelde plan, budget, de voortgang en eventuele uitdagingen voor de internal auditfunctie. Daarnaast kan de CAE de voorzitter of een lid van het bestuur benaderen om gevoelige zaken of kwesties binnen de internal auditfunctie of organisatie te communiceren. Meestal vindt minimaal jaarlijks een formele besloten vergadering van het bestuur of de auditcommissie plaats met de CAE (zonder het senior management) om dergelijke zaken of kwesties te bespreken. Het kan ook nuttig zijn dat de CAE van tijd tot tijd gesprekken onder twee ogen voert of belt met bestuursleden of de voorzitter van de auditcommissie, voorafgaand aan periodieke vergaderingen of regelmatig gedurende het jaar, om te zorgen voor een rechtstreekse en open communicatie. </w:t>
      </w:r>
    </w:p>
    <w:p w:rsidR="00AF61BE" w:rsidRPr="00D50F2C" w:rsidRDefault="002B0D0A" w:rsidP="00034A0A">
      <w:pPr>
        <w:pStyle w:val="TemplateBodyText"/>
        <w:rPr>
          <w:rFonts w:asciiTheme="minorHAnsi" w:hAnsiTheme="minorHAnsi" w:cstheme="minorHAnsi"/>
          <w:sz w:val="22"/>
          <w:szCs w:val="22"/>
        </w:rPr>
      </w:pPr>
      <w:r w:rsidRPr="00D50F2C">
        <w:rPr>
          <w:rFonts w:asciiTheme="minorHAnsi" w:hAnsiTheme="minorHAnsi" w:cstheme="minorHAnsi"/>
          <w:sz w:val="22"/>
          <w:szCs w:val="22"/>
          <w:lang w:val="nl-NL"/>
        </w:rPr>
        <w:t>Als de CAE geen rechtstreekse toegang heeft tot het bestuur, kan de CAE het bestuur wijzen op Standaard 1111 (alsmede Standaard 1100 en 1110), de aanbevolen governancepraktijken en de best practice-studies inzake bestuur/auditcommissie, om zo op de langere termijn een betere relatie en rechtstreekse toegang te bevorderen. In een dergelijke situatie kunnen CAE's daarnaast overwegen om schriftelijk te communiceren met het bestuur totdat rechtstreekse communicatie conform Standaard 1111 beschikbaar is.</w:t>
      </w:r>
      <w:r w:rsidRPr="00D50F2C">
        <w:rPr>
          <w:rFonts w:asciiTheme="minorHAnsi" w:hAnsiTheme="minorHAnsi" w:cstheme="minorHAnsi"/>
          <w:sz w:val="22"/>
          <w:szCs w:val="22"/>
          <w:lang w:val="nl-NL"/>
        </w:rPr>
        <w:br/>
      </w:r>
    </w:p>
    <w:p w:rsidR="00A04BF7" w:rsidRPr="00D50F2C" w:rsidRDefault="002B0D0A" w:rsidP="00A04BF7">
      <w:pPr>
        <w:pStyle w:val="TemplateHeadline"/>
        <w:rPr>
          <w:rFonts w:asciiTheme="minorHAnsi" w:hAnsiTheme="minorHAnsi" w:cstheme="minorHAnsi"/>
        </w:rPr>
      </w:pPr>
      <w:r w:rsidRPr="00D50F2C">
        <w:rPr>
          <w:rFonts w:asciiTheme="minorHAnsi" w:hAnsiTheme="minorHAnsi" w:cstheme="minorHAnsi"/>
          <w:lang w:val="nl-NL"/>
        </w:rPr>
        <w:t>Overwegingen bij het aantonen van de naleving</w:t>
      </w:r>
    </w:p>
    <w:p w:rsidR="00034A0A" w:rsidRPr="00D50F2C" w:rsidRDefault="002B0D0A" w:rsidP="00034A0A">
      <w:pPr>
        <w:spacing w:after="180" w:line="400" w:lineRule="atLeast"/>
        <w:rPr>
          <w:rFonts w:cstheme="minorHAnsi"/>
          <w:sz w:val="22"/>
          <w:szCs w:val="22"/>
        </w:rPr>
      </w:pPr>
      <w:r w:rsidRPr="00D50F2C">
        <w:rPr>
          <w:rFonts w:cstheme="minorHAnsi"/>
          <w:color w:val="000000"/>
          <w:sz w:val="22"/>
          <w:szCs w:val="22"/>
          <w:lang w:val="nl-NL"/>
        </w:rPr>
        <w:t>Vaak volstaan de agenda's en notulen van bestuursvergaderingen om aan te tonen dat er rechtstreekse communicatie en interactie tussen de CAE en het bestuur heeft plaatsgevonden. De naleving hiervan kan ook blijken uit de agenda van de CAE. Daarnaast kan het charter van het bestuur of van de auditcommissie voorschrijven dat de CAE periodieke besloten vergaderingen met het bestuur of de auditcommissie moet bijwonen.</w:t>
      </w:r>
    </w:p>
    <w:p w:rsidR="006050F3" w:rsidRPr="00D50F2C" w:rsidRDefault="002B0D0A" w:rsidP="00575679">
      <w:pPr>
        <w:pStyle w:val="TemplateBodyText"/>
        <w:rPr>
          <w:rFonts w:asciiTheme="minorHAnsi" w:hAnsiTheme="minorHAnsi" w:cstheme="minorHAnsi"/>
        </w:rPr>
      </w:pPr>
      <w:r w:rsidRPr="00D50F2C">
        <w:rPr>
          <w:rFonts w:asciiTheme="minorHAnsi" w:hAnsiTheme="minorHAnsi" w:cstheme="minorHAnsi"/>
          <w:noProof/>
          <w:lang w:val="nl-NL" w:eastAsia="nl-NL"/>
        </w:rPr>
        <w:lastRenderedPageBreak/>
        <mc:AlternateContent>
          <mc:Choice Requires="wps">
            <w:drawing>
              <wp:anchor distT="182880" distB="274320" distL="114300" distR="114300" simplePos="0" relativeHeight="251658240" behindDoc="1" locked="0" layoutInCell="1" allowOverlap="1">
                <wp:simplePos x="0" y="0"/>
                <wp:positionH relativeFrom="margin">
                  <wp:posOffset>0</wp:posOffset>
                </wp:positionH>
                <wp:positionV relativeFrom="paragraph">
                  <wp:posOffset>2390775</wp:posOffset>
                </wp:positionV>
                <wp:extent cx="6400800" cy="5476875"/>
                <wp:effectExtent l="0" t="0" r="0" b="9525"/>
                <wp:wrapTight wrapText="bothSides">
                  <wp:wrapPolygon edited="0">
                    <wp:start x="0" y="0"/>
                    <wp:lineTo x="0" y="21562"/>
                    <wp:lineTo x="21536" y="21562"/>
                    <wp:lineTo x="21536"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400800" cy="54768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B0D0A" w:rsidRPr="00E6381B" w:rsidRDefault="002B0D0A" w:rsidP="002B0D0A">
                            <w:pPr>
                              <w:pStyle w:val="BoilerplateHeadline"/>
                            </w:pPr>
                            <w:r w:rsidRPr="00E6381B">
                              <w:rPr>
                                <w:lang w:val="nl-NL"/>
                              </w:rPr>
                              <w:t xml:space="preserve">Over het IIA </w:t>
                            </w:r>
                          </w:p>
                          <w:p w:rsidR="002B0D0A" w:rsidRPr="001A0D5D" w:rsidRDefault="002B0D0A" w:rsidP="002B0D0A">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B0D0A" w:rsidRPr="00E6381B" w:rsidRDefault="002B0D0A" w:rsidP="002B0D0A">
                            <w:pPr>
                              <w:pStyle w:val="BoilerplateHeadline"/>
                            </w:pPr>
                            <w:r w:rsidRPr="00E6381B">
                              <w:rPr>
                                <w:lang w:val="nl-NL"/>
                              </w:rPr>
                              <w:t>Over de Implementatierichtlijnen</w:t>
                            </w:r>
                          </w:p>
                          <w:p w:rsidR="002B0D0A" w:rsidRDefault="002B0D0A" w:rsidP="002B0D0A">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2B0D0A" w:rsidRDefault="002B0D0A" w:rsidP="002B0D0A">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B0D0A" w:rsidRDefault="002B0D0A" w:rsidP="002B0D0A">
                            <w:pPr>
                              <w:pStyle w:val="BoilerplateBodyText"/>
                              <w:ind w:right="60"/>
                            </w:pPr>
                            <w:r>
                              <w:rPr>
                                <w:lang w:val="nl-NL"/>
                              </w:rPr>
                              <w:t xml:space="preserve">Andere gezaghebbende richtlijnen van het IIA kunt u vinden op onze websites: www.globaliia.org/standards-guidance en www.theiia.org/guidance. </w:t>
                            </w:r>
                          </w:p>
                          <w:p w:rsidR="002B0D0A" w:rsidRDefault="002B0D0A" w:rsidP="002B0D0A">
                            <w:pPr>
                              <w:pStyle w:val="BoilerplateHeadline"/>
                            </w:pPr>
                            <w:r>
                              <w:rPr>
                                <w:lang w:val="nl-NL"/>
                              </w:rPr>
                              <w:t>Disclaimer</w:t>
                            </w:r>
                          </w:p>
                          <w:p w:rsidR="002B0D0A" w:rsidRDefault="002B0D0A" w:rsidP="002B0D0A">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B0D0A" w:rsidRDefault="002B0D0A" w:rsidP="002B0D0A">
                            <w:pPr>
                              <w:pStyle w:val="BoilerplateHeadline"/>
                              <w:spacing w:after="60"/>
                            </w:pPr>
                            <w:r>
                              <w:rPr>
                                <w:lang w:val="nl-NL"/>
                              </w:rPr>
                              <w:t>Auteursrecht</w:t>
                            </w:r>
                          </w:p>
                          <w:p w:rsidR="002B0D0A" w:rsidRDefault="002B0D0A" w:rsidP="002B0D0A">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BB15A3">
                              <w:rPr>
                                <w:i/>
                                <w:iCs/>
                                <w:lang w:val="nl-NL"/>
                              </w:rPr>
                              <w:t xml:space="preserve"> </w:t>
                            </w:r>
                            <w:r>
                              <w:rPr>
                                <w:lang w:val="nl-NL"/>
                              </w:rPr>
                              <w:t xml:space="preserve">Toestemming voor reproductie van deze publicatie kunt u per e-mail aanvragen via guidance@theiia.org. </w:t>
                            </w:r>
                          </w:p>
                          <w:p w:rsidR="00AF61BE" w:rsidRPr="00E6381B" w:rsidRDefault="009110EB" w:rsidP="00AF61BE"/>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0;margin-top:188.25pt;width:7in;height:431.25pt;z-index:-251658240;visibility:visible;mso-wrap-style:square;mso-height-percent:0;mso-wrap-distance-left:9pt;mso-wrap-distance-top:14.4pt;mso-wrap-distance-right:9pt;mso-wrap-distance-bottom:21.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" fillcolor="#d8d8d8 [2732]" stroked="f">
                <v:textbox inset="14.4pt,23.76pt,14.4pt,23.76pt">
                  <w:txbxContent>
                    <w:p w:rsidR="002B0D0A" w:rsidRPr="00E6381B" w:rsidRDefault="002B0D0A" w:rsidP="002B0D0A">
                      <w:pPr>
                        <w:pStyle w:val="BoilerplateHeadline"/>
                      </w:pPr>
                      <w:r w:rsidRPr="00E6381B">
                        <w:rPr>
                          <w:lang w:val="nl-NL"/>
                        </w:rPr>
                        <w:t xml:space="preserve">Over het IIA </w:t>
                      </w:r>
                    </w:p>
                    <w:p w:rsidR="002B0D0A" w:rsidRPr="001A0D5D" w:rsidRDefault="002B0D0A" w:rsidP="002B0D0A">
                      <w:pPr>
                        <w:pStyle w:val="BoilerplateBodyText"/>
                      </w:pPr>
                      <w:r w:rsidRPr="001A0D5D">
                        <w:rPr>
                          <w:lang w:val="nl-NL"/>
                        </w:rPr>
                        <w:t xml:space="preserve">Het </w:t>
                      </w:r>
                      <w:r w:rsidRPr="001A0D5D">
                        <w:rPr>
                          <w:i/>
                          <w:iCs/>
                          <w:lang w:val="nl-NL"/>
                        </w:rPr>
                        <w:t xml:space="preserve">Institute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B0D0A" w:rsidRPr="00E6381B" w:rsidRDefault="002B0D0A" w:rsidP="002B0D0A">
                      <w:pPr>
                        <w:pStyle w:val="BoilerplateHeadline"/>
                      </w:pPr>
                      <w:r w:rsidRPr="00E6381B">
                        <w:rPr>
                          <w:lang w:val="nl-NL"/>
                        </w:rPr>
                        <w:t>Over de Implementatierichtlijnen</w:t>
                      </w:r>
                    </w:p>
                    <w:p w:rsidR="002B0D0A" w:rsidRDefault="002B0D0A" w:rsidP="002B0D0A">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International Professional Practices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International Standards for the Professional Practice of Internal Auditing</w:t>
                      </w:r>
                      <w:r w:rsidRPr="00362566">
                        <w:rPr>
                          <w:rFonts w:ascii="ArialMT" w:hAnsi="ArialMT" w:cs="ArialMT"/>
                          <w:color w:val="000000"/>
                          <w:sz w:val="18"/>
                          <w:szCs w:val="18"/>
                          <w:lang w:val="nl-NL"/>
                        </w:rPr>
                        <w:t xml:space="preserve"> (Standaarden) na te leven. </w:t>
                      </w:r>
                    </w:p>
                    <w:p w:rsidR="002B0D0A" w:rsidRDefault="002B0D0A" w:rsidP="002B0D0A">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B0D0A" w:rsidRDefault="002B0D0A" w:rsidP="002B0D0A">
                      <w:pPr>
                        <w:pStyle w:val="BoilerplateBodyText"/>
                        <w:ind w:right="60"/>
                      </w:pPr>
                      <w:r>
                        <w:rPr>
                          <w:lang w:val="nl-NL"/>
                        </w:rPr>
                        <w:t xml:space="preserve">Andere gezaghebbende richtlijnen van het IIA kunt u vinden op onze websites: www.globaliia.org/standards-guidance en www.theiia.org/guidance. </w:t>
                      </w:r>
                    </w:p>
                    <w:p w:rsidR="002B0D0A" w:rsidRDefault="002B0D0A" w:rsidP="002B0D0A">
                      <w:pPr>
                        <w:pStyle w:val="BoilerplateHeadline"/>
                      </w:pPr>
                      <w:r>
                        <w:rPr>
                          <w:lang w:val="nl-NL"/>
                        </w:rPr>
                        <w:t>Disclaimer</w:t>
                      </w:r>
                    </w:p>
                    <w:p w:rsidR="002B0D0A" w:rsidRDefault="002B0D0A" w:rsidP="002B0D0A">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B0D0A" w:rsidRDefault="002B0D0A" w:rsidP="002B0D0A">
                      <w:pPr>
                        <w:pStyle w:val="BoilerplateHeadline"/>
                        <w:spacing w:after="60"/>
                      </w:pPr>
                      <w:r>
                        <w:rPr>
                          <w:lang w:val="nl-NL"/>
                        </w:rPr>
                        <w:t>Auteursrecht</w:t>
                      </w:r>
                    </w:p>
                    <w:p w:rsidR="002B0D0A" w:rsidRDefault="002B0D0A" w:rsidP="002B0D0A">
                      <w:pPr>
                        <w:pStyle w:val="BoilerplateBodyText"/>
                      </w:pPr>
                      <w:r>
                        <w:rPr>
                          <w:lang w:val="nl-NL"/>
                        </w:rPr>
                        <w:t>Copyright</w:t>
                      </w:r>
                      <w:r>
                        <w:rPr>
                          <w:vertAlign w:val="superscript"/>
                          <w:lang w:val="nl-NL"/>
                        </w:rPr>
                        <w:t>®</w:t>
                      </w:r>
                      <w:r>
                        <w:rPr>
                          <w:lang w:val="nl-NL"/>
                        </w:rPr>
                        <w:t xml:space="preserve"> 2016 </w:t>
                      </w:r>
                      <w:r>
                        <w:rPr>
                          <w:i/>
                          <w:iCs/>
                          <w:lang w:val="nl-NL"/>
                        </w:rPr>
                        <w:t>The Institute of Internal Auditors.</w:t>
                      </w:r>
                      <w:r w:rsidR="00BB15A3">
                        <w:rPr>
                          <w:i/>
                          <w:iCs/>
                          <w:lang w:val="nl-NL"/>
                        </w:rPr>
                        <w:t xml:space="preserve"> </w:t>
                      </w:r>
                      <w:r>
                        <w:rPr>
                          <w:lang w:val="nl-NL"/>
                        </w:rPr>
                        <w:t xml:space="preserve">Toestemming voor reproductie van deze publicatie kunt u per e-mail aanvragen via guidance@theiia.org. </w:t>
                      </w:r>
                    </w:p>
                    <w:p w:rsidR="00AF61BE" w:rsidRPr="00E6381B" w:rsidRDefault="009110EB" w:rsidP="00AF61BE"/>
                  </w:txbxContent>
                </v:textbox>
                <w10:wrap type="tight" anchorx="margin"/>
              </v:shape>
            </w:pict>
          </mc:Fallback>
        </mc:AlternateContent>
      </w:r>
    </w:p>
    <w:sectPr w:rsidR="006050F3" w:rsidRPr="00D50F2C" w:rsidSect="00893833">
      <w:headerReference w:type="even" r:id="rId8"/>
      <w:headerReference w:type="default" r:id="rId9"/>
      <w:footerReference w:type="default" r:id="rId10"/>
      <w:headerReference w:type="first" r:id="rId11"/>
      <w:footerReference w:type="first" r:id="rId12"/>
      <w:pgSz w:w="12240" w:h="15840"/>
      <w:pgMar w:top="1800" w:right="1080" w:bottom="189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B65" w:rsidRDefault="002B0D0A">
      <w:r>
        <w:separator/>
      </w:r>
    </w:p>
  </w:endnote>
  <w:endnote w:type="continuationSeparator" w:id="0">
    <w:p w:rsidR="00610B65" w:rsidRDefault="002B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6227FD" w:rsidRDefault="002B0D0A" w:rsidP="006227FD">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9110EB">
      <w:rPr>
        <w:rStyle w:val="Paginanummer"/>
        <w:noProof/>
        <w:color w:val="535953"/>
        <w:sz w:val="16"/>
        <w:szCs w:val="16"/>
      </w:rPr>
      <w:t>3</w:t>
    </w:r>
    <w:r w:rsidRPr="006227FD">
      <w:rPr>
        <w:rStyle w:val="Paginanummer"/>
        <w:color w:val="535953"/>
        <w:sz w:val="16"/>
        <w:szCs w:val="16"/>
      </w:rPr>
      <w:fldChar w:fldCharType="end"/>
    </w:r>
  </w:p>
  <w:p w:rsidR="00B01FFE" w:rsidRDefault="009110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Pr="00893833" w:rsidRDefault="002B0D0A" w:rsidP="00893833">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9110EB">
      <w:rPr>
        <w:rStyle w:val="Paginanummer"/>
        <w:noProof/>
        <w:color w:val="535953"/>
        <w:sz w:val="16"/>
        <w:szCs w:val="16"/>
      </w:rPr>
      <w:t>1</w:t>
    </w:r>
    <w:r w:rsidRPr="00893833">
      <w:rPr>
        <w:rStyle w:val="Paginanummer"/>
        <w:color w:val="535953"/>
        <w:sz w:val="16"/>
        <w:szCs w:val="16"/>
      </w:rPr>
      <w:fldChar w:fldCharType="end"/>
    </w:r>
  </w:p>
  <w:p w:rsidR="00B01FFE" w:rsidRDefault="009110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B65" w:rsidRDefault="002B0D0A">
      <w:r>
        <w:separator/>
      </w:r>
    </w:p>
  </w:footnote>
  <w:footnote w:type="continuationSeparator" w:id="0">
    <w:p w:rsidR="00610B65" w:rsidRDefault="002B0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2B0D0A" w:rsidP="006227FD">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B01FFE" w:rsidRDefault="009110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2B0D0A">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B01FFE" w:rsidRPr="006227FD" w:rsidRDefault="002B0D0A">
                          <w:pPr>
                            <w:rPr>
                              <w:rFonts w:ascii="Arial" w:hAnsi="Arial" w:cs="Arial"/>
                              <w:color w:val="002239" w:themeColor="text2" w:themeShade="80"/>
                            </w:rPr>
                          </w:pPr>
                          <w:r>
                            <w:rPr>
                              <w:rFonts w:ascii="Arial" w:hAnsi="Arial" w:cs="Arial"/>
                              <w:color w:val="0F1F4B"/>
                              <w:lang w:val="nl-NL"/>
                            </w:rPr>
                            <w:t>Implementatierichtlijn 1111</w:t>
                          </w:r>
                          <w:r w:rsidR="002F0CCB">
                            <w:rPr>
                              <w:rFonts w:ascii="Arial" w:hAnsi="Arial" w:cs="Arial"/>
                              <w:color w:val="002239" w:themeColor="text2" w:themeShade="80"/>
                              <w:lang w:val="nl-NL"/>
                            </w:rPr>
                            <w:t xml:space="preserve"> - </w:t>
                          </w:r>
                          <w:r>
                            <w:rPr>
                              <w:rFonts w:ascii="Arial" w:hAnsi="Arial" w:cs="Arial"/>
                              <w:color w:val="535953"/>
                              <w:lang w:val="nl-NL"/>
                            </w:rPr>
                            <w:t>Directe interactie met het bestuur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B01FFE" w:rsidRPr="006227FD" w:rsidRDefault="002B0D0A">
                    <w:pPr>
                      <w:rPr>
                        <w:rFonts w:ascii="Arial" w:hAnsi="Arial" w:cs="Arial"/>
                        <w:color w:val="002239" w:themeColor="text2" w:themeShade="80"/>
                      </w:rPr>
                    </w:pPr>
                    <w:r>
                      <w:rPr>
                        <w:rFonts w:ascii="Arial" w:hAnsi="Arial" w:cs="Arial"/>
                        <w:color w:val="0F1F4B"/>
                        <w:lang w:val="nl-NL"/>
                      </w:rPr>
                      <w:t>Implementatierichtlijn 1111</w:t>
                    </w:r>
                    <w:r w:rsidR="002F0CCB">
                      <w:rPr>
                        <w:rFonts w:ascii="Arial" w:hAnsi="Arial" w:cs="Arial"/>
                        <w:color w:val="002239" w:themeColor="text2" w:themeShade="80"/>
                        <w:lang w:val="nl-NL"/>
                      </w:rPr>
                      <w:t xml:space="preserve"> - </w:t>
                    </w:r>
                    <w:r>
                      <w:rPr>
                        <w:rFonts w:ascii="Arial" w:hAnsi="Arial" w:cs="Arial"/>
                        <w:color w:val="535953"/>
                        <w:lang w:val="nl-NL"/>
                      </w:rPr>
                      <w:t>Directe interactie met het bestuur</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FE" w:rsidRDefault="002B0D0A">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E2B4A128">
      <w:start w:val="1"/>
      <w:numFmt w:val="bullet"/>
      <w:lvlText w:val=""/>
      <w:lvlJc w:val="left"/>
      <w:pPr>
        <w:ind w:left="990" w:hanging="360"/>
      </w:pPr>
      <w:rPr>
        <w:rFonts w:ascii="Symbol" w:hAnsi="Symbol" w:hint="default"/>
        <w:color w:val="D32E30" w:themeColor="accent2"/>
      </w:rPr>
    </w:lvl>
    <w:lvl w:ilvl="1" w:tplc="EB6E7DF4" w:tentative="1">
      <w:start w:val="1"/>
      <w:numFmt w:val="bullet"/>
      <w:lvlText w:val="o"/>
      <w:lvlJc w:val="left"/>
      <w:pPr>
        <w:ind w:left="1710" w:hanging="360"/>
      </w:pPr>
      <w:rPr>
        <w:rFonts w:ascii="Courier New" w:hAnsi="Courier New" w:hint="default"/>
      </w:rPr>
    </w:lvl>
    <w:lvl w:ilvl="2" w:tplc="8FA07C12" w:tentative="1">
      <w:start w:val="1"/>
      <w:numFmt w:val="bullet"/>
      <w:lvlText w:val=""/>
      <w:lvlJc w:val="left"/>
      <w:pPr>
        <w:ind w:left="2430" w:hanging="360"/>
      </w:pPr>
      <w:rPr>
        <w:rFonts w:ascii="Wingdings" w:hAnsi="Wingdings" w:hint="default"/>
      </w:rPr>
    </w:lvl>
    <w:lvl w:ilvl="3" w:tplc="528409D4" w:tentative="1">
      <w:start w:val="1"/>
      <w:numFmt w:val="bullet"/>
      <w:lvlText w:val=""/>
      <w:lvlJc w:val="left"/>
      <w:pPr>
        <w:ind w:left="3150" w:hanging="360"/>
      </w:pPr>
      <w:rPr>
        <w:rFonts w:ascii="Symbol" w:hAnsi="Symbol" w:hint="default"/>
      </w:rPr>
    </w:lvl>
    <w:lvl w:ilvl="4" w:tplc="45C27C96" w:tentative="1">
      <w:start w:val="1"/>
      <w:numFmt w:val="bullet"/>
      <w:lvlText w:val="o"/>
      <w:lvlJc w:val="left"/>
      <w:pPr>
        <w:ind w:left="3870" w:hanging="360"/>
      </w:pPr>
      <w:rPr>
        <w:rFonts w:ascii="Courier New" w:hAnsi="Courier New" w:hint="default"/>
      </w:rPr>
    </w:lvl>
    <w:lvl w:ilvl="5" w:tplc="0226DA86" w:tentative="1">
      <w:start w:val="1"/>
      <w:numFmt w:val="bullet"/>
      <w:lvlText w:val=""/>
      <w:lvlJc w:val="left"/>
      <w:pPr>
        <w:ind w:left="4590" w:hanging="360"/>
      </w:pPr>
      <w:rPr>
        <w:rFonts w:ascii="Wingdings" w:hAnsi="Wingdings" w:hint="default"/>
      </w:rPr>
    </w:lvl>
    <w:lvl w:ilvl="6" w:tplc="07164D6C" w:tentative="1">
      <w:start w:val="1"/>
      <w:numFmt w:val="bullet"/>
      <w:lvlText w:val=""/>
      <w:lvlJc w:val="left"/>
      <w:pPr>
        <w:ind w:left="5310" w:hanging="360"/>
      </w:pPr>
      <w:rPr>
        <w:rFonts w:ascii="Symbol" w:hAnsi="Symbol" w:hint="default"/>
      </w:rPr>
    </w:lvl>
    <w:lvl w:ilvl="7" w:tplc="9162D55E" w:tentative="1">
      <w:start w:val="1"/>
      <w:numFmt w:val="bullet"/>
      <w:lvlText w:val="o"/>
      <w:lvlJc w:val="left"/>
      <w:pPr>
        <w:ind w:left="6030" w:hanging="360"/>
      </w:pPr>
      <w:rPr>
        <w:rFonts w:ascii="Courier New" w:hAnsi="Courier New" w:hint="default"/>
      </w:rPr>
    </w:lvl>
    <w:lvl w:ilvl="8" w:tplc="13A61B6C"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91027E52">
      <w:start w:val="1"/>
      <w:numFmt w:val="bullet"/>
      <w:pStyle w:val="RedBullets"/>
      <w:lvlText w:val=""/>
      <w:lvlJc w:val="left"/>
      <w:pPr>
        <w:ind w:left="994" w:hanging="360"/>
      </w:pPr>
      <w:rPr>
        <w:rFonts w:ascii="Symbol" w:hAnsi="Symbol" w:hint="default"/>
        <w:color w:val="D32E30" w:themeColor="accent2"/>
      </w:rPr>
    </w:lvl>
    <w:lvl w:ilvl="1" w:tplc="9048A5BE">
      <w:start w:val="1"/>
      <w:numFmt w:val="bullet"/>
      <w:lvlText w:val="o"/>
      <w:lvlJc w:val="left"/>
      <w:pPr>
        <w:ind w:left="1714" w:hanging="360"/>
      </w:pPr>
      <w:rPr>
        <w:rFonts w:ascii="Courier New" w:hAnsi="Courier New" w:hint="default"/>
      </w:rPr>
    </w:lvl>
    <w:lvl w:ilvl="2" w:tplc="1DBC3400" w:tentative="1">
      <w:start w:val="1"/>
      <w:numFmt w:val="bullet"/>
      <w:lvlText w:val=""/>
      <w:lvlJc w:val="left"/>
      <w:pPr>
        <w:ind w:left="2434" w:hanging="360"/>
      </w:pPr>
      <w:rPr>
        <w:rFonts w:ascii="Wingdings" w:hAnsi="Wingdings" w:hint="default"/>
      </w:rPr>
    </w:lvl>
    <w:lvl w:ilvl="3" w:tplc="6ACC8D30" w:tentative="1">
      <w:start w:val="1"/>
      <w:numFmt w:val="bullet"/>
      <w:lvlText w:val=""/>
      <w:lvlJc w:val="left"/>
      <w:pPr>
        <w:ind w:left="3154" w:hanging="360"/>
      </w:pPr>
      <w:rPr>
        <w:rFonts w:ascii="Symbol" w:hAnsi="Symbol" w:hint="default"/>
      </w:rPr>
    </w:lvl>
    <w:lvl w:ilvl="4" w:tplc="D45C4F6A" w:tentative="1">
      <w:start w:val="1"/>
      <w:numFmt w:val="bullet"/>
      <w:lvlText w:val="o"/>
      <w:lvlJc w:val="left"/>
      <w:pPr>
        <w:ind w:left="3874" w:hanging="360"/>
      </w:pPr>
      <w:rPr>
        <w:rFonts w:ascii="Courier New" w:hAnsi="Courier New" w:hint="default"/>
      </w:rPr>
    </w:lvl>
    <w:lvl w:ilvl="5" w:tplc="F23EEB22" w:tentative="1">
      <w:start w:val="1"/>
      <w:numFmt w:val="bullet"/>
      <w:lvlText w:val=""/>
      <w:lvlJc w:val="left"/>
      <w:pPr>
        <w:ind w:left="4594" w:hanging="360"/>
      </w:pPr>
      <w:rPr>
        <w:rFonts w:ascii="Wingdings" w:hAnsi="Wingdings" w:hint="default"/>
      </w:rPr>
    </w:lvl>
    <w:lvl w:ilvl="6" w:tplc="245EB01E" w:tentative="1">
      <w:start w:val="1"/>
      <w:numFmt w:val="bullet"/>
      <w:lvlText w:val=""/>
      <w:lvlJc w:val="left"/>
      <w:pPr>
        <w:ind w:left="5314" w:hanging="360"/>
      </w:pPr>
      <w:rPr>
        <w:rFonts w:ascii="Symbol" w:hAnsi="Symbol" w:hint="default"/>
      </w:rPr>
    </w:lvl>
    <w:lvl w:ilvl="7" w:tplc="ED3EF0E4" w:tentative="1">
      <w:start w:val="1"/>
      <w:numFmt w:val="bullet"/>
      <w:lvlText w:val="o"/>
      <w:lvlJc w:val="left"/>
      <w:pPr>
        <w:ind w:left="6034" w:hanging="360"/>
      </w:pPr>
      <w:rPr>
        <w:rFonts w:ascii="Courier New" w:hAnsi="Courier New" w:hint="default"/>
      </w:rPr>
    </w:lvl>
    <w:lvl w:ilvl="8" w:tplc="DD56C446"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8A94E37E">
      <w:start w:val="1"/>
      <w:numFmt w:val="bullet"/>
      <w:lvlText w:val=""/>
      <w:lvlJc w:val="left"/>
      <w:pPr>
        <w:ind w:left="720" w:hanging="360"/>
      </w:pPr>
      <w:rPr>
        <w:rFonts w:ascii="Symbol" w:hAnsi="Symbol" w:hint="default"/>
        <w:color w:val="D32E30" w:themeColor="accent2"/>
      </w:rPr>
    </w:lvl>
    <w:lvl w:ilvl="1" w:tplc="E3049496" w:tentative="1">
      <w:start w:val="1"/>
      <w:numFmt w:val="bullet"/>
      <w:lvlText w:val="o"/>
      <w:lvlJc w:val="left"/>
      <w:pPr>
        <w:ind w:left="1170" w:hanging="360"/>
      </w:pPr>
      <w:rPr>
        <w:rFonts w:ascii="Courier New" w:hAnsi="Courier New" w:hint="default"/>
      </w:rPr>
    </w:lvl>
    <w:lvl w:ilvl="2" w:tplc="A58C969E" w:tentative="1">
      <w:start w:val="1"/>
      <w:numFmt w:val="bullet"/>
      <w:lvlText w:val=""/>
      <w:lvlJc w:val="left"/>
      <w:pPr>
        <w:ind w:left="1890" w:hanging="360"/>
      </w:pPr>
      <w:rPr>
        <w:rFonts w:ascii="Wingdings" w:hAnsi="Wingdings" w:hint="default"/>
      </w:rPr>
    </w:lvl>
    <w:lvl w:ilvl="3" w:tplc="93827C1E" w:tentative="1">
      <w:start w:val="1"/>
      <w:numFmt w:val="bullet"/>
      <w:lvlText w:val=""/>
      <w:lvlJc w:val="left"/>
      <w:pPr>
        <w:ind w:left="2610" w:hanging="360"/>
      </w:pPr>
      <w:rPr>
        <w:rFonts w:ascii="Symbol" w:hAnsi="Symbol" w:hint="default"/>
      </w:rPr>
    </w:lvl>
    <w:lvl w:ilvl="4" w:tplc="FC3887AE" w:tentative="1">
      <w:start w:val="1"/>
      <w:numFmt w:val="bullet"/>
      <w:lvlText w:val="o"/>
      <w:lvlJc w:val="left"/>
      <w:pPr>
        <w:ind w:left="3330" w:hanging="360"/>
      </w:pPr>
      <w:rPr>
        <w:rFonts w:ascii="Courier New" w:hAnsi="Courier New" w:hint="default"/>
      </w:rPr>
    </w:lvl>
    <w:lvl w:ilvl="5" w:tplc="84B8EFAA" w:tentative="1">
      <w:start w:val="1"/>
      <w:numFmt w:val="bullet"/>
      <w:lvlText w:val=""/>
      <w:lvlJc w:val="left"/>
      <w:pPr>
        <w:ind w:left="4050" w:hanging="360"/>
      </w:pPr>
      <w:rPr>
        <w:rFonts w:ascii="Wingdings" w:hAnsi="Wingdings" w:hint="default"/>
      </w:rPr>
    </w:lvl>
    <w:lvl w:ilvl="6" w:tplc="DF4A9C76" w:tentative="1">
      <w:start w:val="1"/>
      <w:numFmt w:val="bullet"/>
      <w:lvlText w:val=""/>
      <w:lvlJc w:val="left"/>
      <w:pPr>
        <w:ind w:left="4770" w:hanging="360"/>
      </w:pPr>
      <w:rPr>
        <w:rFonts w:ascii="Symbol" w:hAnsi="Symbol" w:hint="default"/>
      </w:rPr>
    </w:lvl>
    <w:lvl w:ilvl="7" w:tplc="FBC2F96C" w:tentative="1">
      <w:start w:val="1"/>
      <w:numFmt w:val="bullet"/>
      <w:lvlText w:val="o"/>
      <w:lvlJc w:val="left"/>
      <w:pPr>
        <w:ind w:left="5490" w:hanging="360"/>
      </w:pPr>
      <w:rPr>
        <w:rFonts w:ascii="Courier New" w:hAnsi="Courier New" w:hint="default"/>
      </w:rPr>
    </w:lvl>
    <w:lvl w:ilvl="8" w:tplc="6556092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StaticGuides" w:val="1"/>
  </w:docVars>
  <w:rsids>
    <w:rsidRoot w:val="002B0D0A"/>
    <w:rsid w:val="002B0D0A"/>
    <w:rsid w:val="002F0CCB"/>
    <w:rsid w:val="004478B1"/>
    <w:rsid w:val="00610B65"/>
    <w:rsid w:val="009110EB"/>
    <w:rsid w:val="00BB15A3"/>
    <w:rsid w:val="00D50F2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90ED44-55A4-400B-B4ED-253418C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F61BE"/>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97336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7336D"/>
    <w:rPr>
      <w:rFonts w:ascii="Segoe UI" w:hAnsi="Segoe UI" w:cs="Segoe UI"/>
      <w:sz w:val="18"/>
      <w:szCs w:val="18"/>
    </w:rPr>
  </w:style>
  <w:style w:type="character" w:styleId="Verwijzingopmerking">
    <w:name w:val="annotation reference"/>
    <w:basedOn w:val="Standaardalinea-lettertype"/>
    <w:uiPriority w:val="99"/>
    <w:semiHidden/>
    <w:unhideWhenUsed/>
    <w:rsid w:val="006D6088"/>
    <w:rPr>
      <w:sz w:val="16"/>
      <w:szCs w:val="16"/>
    </w:rPr>
  </w:style>
  <w:style w:type="paragraph" w:styleId="Tekstopmerking">
    <w:name w:val="annotation text"/>
    <w:basedOn w:val="Standaard"/>
    <w:link w:val="TekstopmerkingChar"/>
    <w:uiPriority w:val="99"/>
    <w:semiHidden/>
    <w:unhideWhenUsed/>
    <w:rsid w:val="006D6088"/>
    <w:rPr>
      <w:sz w:val="20"/>
      <w:szCs w:val="20"/>
    </w:rPr>
  </w:style>
  <w:style w:type="character" w:customStyle="1" w:styleId="TekstopmerkingChar">
    <w:name w:val="Tekst opmerking Char"/>
    <w:basedOn w:val="Standaardalinea-lettertype"/>
    <w:link w:val="Tekstopmerking"/>
    <w:uiPriority w:val="99"/>
    <w:semiHidden/>
    <w:rsid w:val="006D6088"/>
    <w:rPr>
      <w:sz w:val="20"/>
      <w:szCs w:val="20"/>
    </w:rPr>
  </w:style>
  <w:style w:type="paragraph" w:styleId="Onderwerpvanopmerking">
    <w:name w:val="annotation subject"/>
    <w:basedOn w:val="Tekstopmerking"/>
    <w:next w:val="Tekstopmerking"/>
    <w:link w:val="OnderwerpvanopmerkingChar"/>
    <w:uiPriority w:val="99"/>
    <w:semiHidden/>
    <w:unhideWhenUsed/>
    <w:rsid w:val="006D6088"/>
    <w:rPr>
      <w:b/>
      <w:bCs/>
    </w:rPr>
  </w:style>
  <w:style w:type="character" w:customStyle="1" w:styleId="OnderwerpvanopmerkingChar">
    <w:name w:val="Onderwerp van opmerking Char"/>
    <w:basedOn w:val="TekstopmerkingChar"/>
    <w:link w:val="Onderwerpvanopmerking"/>
    <w:uiPriority w:val="99"/>
    <w:semiHidden/>
    <w:rsid w:val="006D60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E9AE6C-3463-4A45-9538-11F33D553A52}">
  <ds:schemaRefs>
    <ds:schemaRef ds:uri="http://schemas.openxmlformats.org/officeDocument/2006/bibliography"/>
  </ds:schemaRefs>
</ds:datastoreItem>
</file>

<file path=customXml/itemProps2.xml><?xml version="1.0" encoding="utf-8"?>
<ds:datastoreItem xmlns:ds="http://schemas.openxmlformats.org/officeDocument/2006/customXml" ds:itemID="{CCA514A2-574A-4067-9988-75CEB5B00849}"/>
</file>

<file path=customXml/itemProps3.xml><?xml version="1.0" encoding="utf-8"?>
<ds:datastoreItem xmlns:ds="http://schemas.openxmlformats.org/officeDocument/2006/customXml" ds:itemID="{D13852AD-9EFF-43FA-8ECF-4BD2EF3A6A26}"/>
</file>

<file path=customXml/itemProps4.xml><?xml version="1.0" encoding="utf-8"?>
<ds:datastoreItem xmlns:ds="http://schemas.openxmlformats.org/officeDocument/2006/customXml" ds:itemID="{A207F775-712F-4CE7-8D35-73DDDDAF6E60}"/>
</file>

<file path=docProps/app.xml><?xml version="1.0" encoding="utf-8"?>
<Properties xmlns="http://schemas.openxmlformats.org/officeDocument/2006/extended-properties" xmlns:vt="http://schemas.openxmlformats.org/officeDocument/2006/docPropsVTypes">
  <Template>75FB73DB</Template>
  <TotalTime>5</TotalTime>
  <Pages>3</Pages>
  <Words>497</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IIA</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9</cp:revision>
  <cp:lastPrinted>2016-08-31T12:28:00Z</cp:lastPrinted>
  <dcterms:created xsi:type="dcterms:W3CDTF">2016-11-07T15:42:00Z</dcterms:created>
  <dcterms:modified xsi:type="dcterms:W3CDTF">2017-08-21T12:30:00Z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