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4B1388" w:rsidRDefault="00C6368B" w:rsidP="00FF046F">
      <w:pPr>
        <w:pStyle w:val="Geenafstand"/>
        <w:rPr>
          <w:rFonts w:cstheme="minorHAnsi"/>
          <w:lang w:val="nl-NL"/>
        </w:rPr>
      </w:pPr>
      <w:r w:rsidRPr="004B1388">
        <w:rPr>
          <w:rFonts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right</wp:align>
                </wp:positionH>
                <wp:positionV relativeFrom="margin">
                  <wp:posOffset>1485900</wp:posOffset>
                </wp:positionV>
                <wp:extent cx="6400800" cy="307657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3076575"/>
                        </a:xfrm>
                        <a:prstGeom prst="rect">
                          <a:avLst/>
                        </a:prstGeom>
                        <a:solidFill>
                          <a:schemeClr val="bg1">
                            <a:lumMod val="85000"/>
                          </a:scheme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D24D8B" w:rsidRDefault="00665553" w:rsidP="002F57B5">
                            <w:pPr>
                              <w:pStyle w:val="TemplateHeadline"/>
                              <w:rPr>
                                <w:rFonts w:asciiTheme="majorHAnsi" w:hAnsiTheme="majorHAnsi" w:cstheme="majorHAnsi"/>
                              </w:rPr>
                            </w:pPr>
                            <w:bookmarkStart w:id="0" w:name="_GoBack"/>
                            <w:bookmarkEnd w:id="0"/>
                            <w:r>
                              <w:rPr>
                                <w:rFonts w:asciiTheme="majorHAnsi" w:hAnsiTheme="majorHAnsi" w:cstheme="majorHAnsi"/>
                                <w:lang w:val="nl-NL"/>
                              </w:rPr>
                              <w:t>Standaard 10</w:t>
                            </w:r>
                            <w:r w:rsidR="005A0CAD">
                              <w:rPr>
                                <w:rFonts w:asciiTheme="majorHAnsi" w:hAnsiTheme="majorHAnsi" w:cstheme="majorHAnsi"/>
                                <w:lang w:val="nl-NL"/>
                              </w:rPr>
                              <w:t>1</w:t>
                            </w:r>
                            <w:r w:rsidR="002F57B5" w:rsidRPr="00D24D8B">
                              <w:rPr>
                                <w:rFonts w:asciiTheme="majorHAnsi" w:hAnsiTheme="majorHAnsi" w:cstheme="majorHAnsi"/>
                                <w:lang w:val="nl-NL"/>
                              </w:rPr>
                              <w:t xml:space="preserve">0 - </w:t>
                            </w:r>
                            <w:r w:rsidR="005A0CAD" w:rsidRPr="005A0CAD">
                              <w:rPr>
                                <w:rFonts w:asciiTheme="majorHAnsi" w:hAnsiTheme="majorHAnsi" w:cstheme="majorHAnsi"/>
                                <w:lang w:val="nl-NL"/>
                              </w:rPr>
                              <w:t>Erkenning van verplichte begeleiding in het internal-auditcharter</w:t>
                            </w:r>
                          </w:p>
                          <w:p w:rsidR="00665553" w:rsidRPr="004B1388" w:rsidRDefault="005A0CAD" w:rsidP="002F57B5">
                            <w:pPr>
                              <w:pStyle w:val="RedBullets"/>
                              <w:numPr>
                                <w:ilvl w:val="0"/>
                                <w:numId w:val="0"/>
                              </w:numPr>
                              <w:rPr>
                                <w:rFonts w:asciiTheme="majorHAnsi" w:hAnsiTheme="majorHAnsi" w:cstheme="majorHAnsi"/>
                                <w:sz w:val="22"/>
                                <w:szCs w:val="22"/>
                                <w:lang w:val="nl-NL"/>
                              </w:rPr>
                            </w:pPr>
                            <w:r w:rsidRPr="004B1388">
                              <w:rPr>
                                <w:rFonts w:asciiTheme="majorHAnsi" w:hAnsiTheme="majorHAnsi" w:cstheme="majorHAnsi"/>
                                <w:sz w:val="22"/>
                                <w:szCs w:val="22"/>
                                <w:lang w:val="nl-NL"/>
                              </w:rPr>
                              <w:t xml:space="preserve">De dwingende aard van de kernbeginselen van de beroepsuitoefening van internal auditing, de gedragscode, de </w:t>
                            </w:r>
                            <w:r w:rsidRPr="003A5073">
                              <w:rPr>
                                <w:rFonts w:asciiTheme="majorHAnsi" w:hAnsiTheme="majorHAnsi" w:cstheme="majorHAnsi"/>
                                <w:i/>
                                <w:sz w:val="22"/>
                                <w:szCs w:val="22"/>
                                <w:lang w:val="nl-NL"/>
                              </w:rPr>
                              <w:t>Standaarden</w:t>
                            </w:r>
                            <w:r w:rsidRPr="004B1388">
                              <w:rPr>
                                <w:rFonts w:asciiTheme="majorHAnsi" w:hAnsiTheme="majorHAnsi" w:cstheme="majorHAnsi"/>
                                <w:sz w:val="22"/>
                                <w:szCs w:val="22"/>
                                <w:lang w:val="nl-NL"/>
                              </w:rPr>
                              <w:t xml:space="preserve"> en de definitie van internal auditing moet in het internal-auditcharter worden onderkend. Het hoofd van de internal-auditfunctie dient de missie van internal auditing en de verplichte aspecten van het internationale raamwerk voor de beroepsuitoefening met het senior management en het bestuur te bespreken.</w:t>
                            </w:r>
                          </w:p>
                          <w:p w:rsidR="00DE265B" w:rsidRPr="004B1388" w:rsidRDefault="00DE265B" w:rsidP="002F57B5">
                            <w:pPr>
                              <w:pStyle w:val="RedBullets"/>
                              <w:numPr>
                                <w:ilvl w:val="0"/>
                                <w:numId w:val="0"/>
                              </w:numPr>
                              <w:rPr>
                                <w:rFonts w:asciiTheme="majorHAnsi" w:hAnsiTheme="majorHAnsi" w:cstheme="majorHAnsi"/>
                                <w:sz w:val="22"/>
                                <w:szCs w:val="22"/>
                                <w:lang w:val="nl-NL"/>
                              </w:rPr>
                            </w:pPr>
                          </w:p>
                          <w:p w:rsidR="00DE265B" w:rsidRPr="004B1388" w:rsidRDefault="00DE265B" w:rsidP="00DE265B">
                            <w:pPr>
                              <w:pStyle w:val="RedBullets"/>
                              <w:numPr>
                                <w:ilvl w:val="0"/>
                                <w:numId w:val="0"/>
                              </w:numPr>
                              <w:jc w:val="right"/>
                              <w:rPr>
                                <w:rFonts w:asciiTheme="majorHAnsi" w:hAnsiTheme="majorHAnsi" w:cstheme="majorHAnsi"/>
                                <w:sz w:val="22"/>
                                <w:szCs w:val="22"/>
                                <w:lang w:val="nl-NL"/>
                              </w:rPr>
                            </w:pPr>
                            <w:proofErr w:type="spellStart"/>
                            <w:r w:rsidRPr="004B1388">
                              <w:rPr>
                                <w:rFonts w:asciiTheme="majorHAnsi" w:hAnsiTheme="majorHAnsi" w:cstheme="majorHAnsi"/>
                                <w:sz w:val="22"/>
                                <w:szCs w:val="22"/>
                                <w:lang w:val="nl-NL"/>
                              </w:rPr>
                              <w:t>Herziene</w:t>
                            </w:r>
                            <w:proofErr w:type="spellEnd"/>
                            <w:r w:rsidRPr="004B1388">
                              <w:rPr>
                                <w:rFonts w:asciiTheme="majorHAnsi" w:hAnsiTheme="majorHAnsi" w:cstheme="majorHAnsi"/>
                                <w:sz w:val="22"/>
                                <w:szCs w:val="22"/>
                                <w:lang w:val="nl-NL"/>
                              </w:rPr>
                              <w:t xml:space="preserve"> </w:t>
                            </w:r>
                            <w:r w:rsidRPr="004B1388">
                              <w:rPr>
                                <w:rFonts w:asciiTheme="majorHAnsi" w:hAnsiTheme="majorHAnsi" w:cstheme="majorHAnsi"/>
                                <w:i/>
                                <w:sz w:val="22"/>
                                <w:szCs w:val="22"/>
                                <w:lang w:val="nl-NL"/>
                              </w:rPr>
                              <w:t>Standaarden</w:t>
                            </w:r>
                            <w:r w:rsidRPr="004B1388">
                              <w:rPr>
                                <w:rFonts w:asciiTheme="majorHAnsi" w:hAnsiTheme="majorHAnsi" w:cstheme="majorHAnsi"/>
                                <w:sz w:val="22"/>
                                <w:szCs w:val="22"/>
                                <w:lang w:val="nl-NL"/>
                              </w:rPr>
                              <w:t xml:space="preserve"> die per 1 januari 2017 van kracht zijn</w:t>
                            </w:r>
                          </w:p>
                          <w:p w:rsidR="005A0CAD" w:rsidRPr="004B1388" w:rsidRDefault="005A0CAD" w:rsidP="002F57B5">
                            <w:pPr>
                              <w:pStyle w:val="RedBullets"/>
                              <w:numPr>
                                <w:ilvl w:val="0"/>
                                <w:numId w:val="0"/>
                              </w:numPr>
                              <w:rPr>
                                <w:rFonts w:asciiTheme="majorHAnsi" w:hAnsiTheme="majorHAnsi" w:cstheme="majorHAnsi"/>
                                <w:sz w:val="22"/>
                                <w:szCs w:val="22"/>
                              </w:rPr>
                            </w:pPr>
                          </w:p>
                          <w:p w:rsidR="002F57B5" w:rsidRPr="008F2569" w:rsidRDefault="002F57B5" w:rsidP="002F57B5">
                            <w:pPr>
                              <w:pStyle w:val="RedBullets"/>
                              <w:numPr>
                                <w:ilvl w:val="0"/>
                                <w:numId w:val="0"/>
                              </w:numPr>
                              <w:rPr>
                                <w:rFonts w:asciiTheme="majorHAnsi" w:hAnsiTheme="majorHAnsi" w:cstheme="majorHAnsi"/>
                              </w:rPr>
                            </w:pP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452.8pt;margin-top:117pt;width:7in;height:242.25pt;z-index:251658240;visibility:visible;mso-wrap-style:square;mso-height-percent:0;mso-wrap-distance-left:9pt;mso-wrap-distance-top:165.6pt;mso-wrap-distance-right:9pt;mso-wrap-distance-bottom:21.6pt;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" fillcolor="#d8d8d8 [2732]" stroked="f">
                <v:textbox inset="14.4pt,23.76pt,14.4pt,23.76pt">
                  <w:txbxContent>
                    <w:p w:rsidR="002F57B5" w:rsidRPr="00D24D8B" w:rsidRDefault="00665553" w:rsidP="002F57B5">
                      <w:pPr>
                        <w:pStyle w:val="TemplateHeadline"/>
                        <w:rPr>
                          <w:rFonts w:asciiTheme="majorHAnsi" w:hAnsiTheme="majorHAnsi" w:cstheme="majorHAnsi"/>
                        </w:rPr>
                      </w:pPr>
                      <w:r>
                        <w:rPr>
                          <w:rFonts w:asciiTheme="majorHAnsi" w:hAnsiTheme="majorHAnsi" w:cstheme="majorHAnsi"/>
                          <w:lang w:val="nl-NL"/>
                        </w:rPr>
                        <w:t>Standaard 10</w:t>
                      </w:r>
                      <w:r w:rsidR="005A0CAD">
                        <w:rPr>
                          <w:rFonts w:asciiTheme="majorHAnsi" w:hAnsiTheme="majorHAnsi" w:cstheme="majorHAnsi"/>
                          <w:lang w:val="nl-NL"/>
                        </w:rPr>
                        <w:t>1</w:t>
                      </w:r>
                      <w:r w:rsidR="002F57B5" w:rsidRPr="00D24D8B">
                        <w:rPr>
                          <w:rFonts w:asciiTheme="majorHAnsi" w:hAnsiTheme="majorHAnsi" w:cstheme="majorHAnsi"/>
                          <w:lang w:val="nl-NL"/>
                        </w:rPr>
                        <w:t xml:space="preserve">0 - </w:t>
                      </w:r>
                      <w:r w:rsidR="005A0CAD" w:rsidRPr="005A0CAD">
                        <w:rPr>
                          <w:rFonts w:asciiTheme="majorHAnsi" w:hAnsiTheme="majorHAnsi" w:cstheme="majorHAnsi"/>
                          <w:lang w:val="nl-NL"/>
                        </w:rPr>
                        <w:t>Erkenning van verplichte begeleiding in het internal-auditcharter</w:t>
                      </w:r>
                    </w:p>
                    <w:p w:rsidR="00665553" w:rsidRPr="004B1388" w:rsidRDefault="005A0CAD" w:rsidP="002F57B5">
                      <w:pPr>
                        <w:pStyle w:val="RedBullets"/>
                        <w:numPr>
                          <w:ilvl w:val="0"/>
                          <w:numId w:val="0"/>
                        </w:numPr>
                        <w:rPr>
                          <w:rFonts w:asciiTheme="majorHAnsi" w:hAnsiTheme="majorHAnsi" w:cstheme="majorHAnsi"/>
                          <w:sz w:val="22"/>
                          <w:szCs w:val="22"/>
                          <w:lang w:val="nl-NL"/>
                        </w:rPr>
                      </w:pPr>
                      <w:r w:rsidRPr="004B1388">
                        <w:rPr>
                          <w:rFonts w:asciiTheme="majorHAnsi" w:hAnsiTheme="majorHAnsi" w:cstheme="majorHAnsi"/>
                          <w:sz w:val="22"/>
                          <w:szCs w:val="22"/>
                          <w:lang w:val="nl-NL"/>
                        </w:rPr>
                        <w:t xml:space="preserve">De dwingende aard van de kernbeginselen van de beroepsuitoefening van internal auditing, de gedragscode, de </w:t>
                      </w:r>
                      <w:r w:rsidRPr="003A5073">
                        <w:rPr>
                          <w:rFonts w:asciiTheme="majorHAnsi" w:hAnsiTheme="majorHAnsi" w:cstheme="majorHAnsi"/>
                          <w:i/>
                          <w:sz w:val="22"/>
                          <w:szCs w:val="22"/>
                          <w:lang w:val="nl-NL"/>
                        </w:rPr>
                        <w:t>Standaarden</w:t>
                      </w:r>
                      <w:r w:rsidRPr="004B1388">
                        <w:rPr>
                          <w:rFonts w:asciiTheme="majorHAnsi" w:hAnsiTheme="majorHAnsi" w:cstheme="majorHAnsi"/>
                          <w:sz w:val="22"/>
                          <w:szCs w:val="22"/>
                          <w:lang w:val="nl-NL"/>
                        </w:rPr>
                        <w:t xml:space="preserve"> en de definitie van internal auditing moet in het internal-auditcharter worden onderkend. Het hoofd van de internal-auditfunctie dient de missie van internal auditing en de verplichte aspecten van het internationale raamwerk voor de beroepsuitoefening met het senior management en het bestuur te bespreken.</w:t>
                      </w:r>
                    </w:p>
                    <w:p w:rsidR="00DE265B" w:rsidRPr="004B1388" w:rsidRDefault="00DE265B" w:rsidP="002F57B5">
                      <w:pPr>
                        <w:pStyle w:val="RedBullets"/>
                        <w:numPr>
                          <w:ilvl w:val="0"/>
                          <w:numId w:val="0"/>
                        </w:numPr>
                        <w:rPr>
                          <w:rFonts w:asciiTheme="majorHAnsi" w:hAnsiTheme="majorHAnsi" w:cstheme="majorHAnsi"/>
                          <w:sz w:val="22"/>
                          <w:szCs w:val="22"/>
                          <w:lang w:val="nl-NL"/>
                        </w:rPr>
                      </w:pPr>
                    </w:p>
                    <w:p w:rsidR="00DE265B" w:rsidRPr="004B1388" w:rsidRDefault="00DE265B" w:rsidP="00DE265B">
                      <w:pPr>
                        <w:pStyle w:val="RedBullets"/>
                        <w:numPr>
                          <w:ilvl w:val="0"/>
                          <w:numId w:val="0"/>
                        </w:numPr>
                        <w:jc w:val="right"/>
                        <w:rPr>
                          <w:rFonts w:asciiTheme="majorHAnsi" w:hAnsiTheme="majorHAnsi" w:cstheme="majorHAnsi"/>
                          <w:sz w:val="22"/>
                          <w:szCs w:val="22"/>
                          <w:lang w:val="nl-NL"/>
                        </w:rPr>
                      </w:pPr>
                      <w:proofErr w:type="spellStart"/>
                      <w:r w:rsidRPr="004B1388">
                        <w:rPr>
                          <w:rFonts w:asciiTheme="majorHAnsi" w:hAnsiTheme="majorHAnsi" w:cstheme="majorHAnsi"/>
                          <w:sz w:val="22"/>
                          <w:szCs w:val="22"/>
                          <w:lang w:val="nl-NL"/>
                        </w:rPr>
                        <w:t>Herziene</w:t>
                      </w:r>
                      <w:proofErr w:type="spellEnd"/>
                      <w:r w:rsidRPr="004B1388">
                        <w:rPr>
                          <w:rFonts w:asciiTheme="majorHAnsi" w:hAnsiTheme="majorHAnsi" w:cstheme="majorHAnsi"/>
                          <w:sz w:val="22"/>
                          <w:szCs w:val="22"/>
                          <w:lang w:val="nl-NL"/>
                        </w:rPr>
                        <w:t xml:space="preserve"> </w:t>
                      </w:r>
                      <w:r w:rsidRPr="004B1388">
                        <w:rPr>
                          <w:rFonts w:asciiTheme="majorHAnsi" w:hAnsiTheme="majorHAnsi" w:cstheme="majorHAnsi"/>
                          <w:i/>
                          <w:sz w:val="22"/>
                          <w:szCs w:val="22"/>
                          <w:lang w:val="nl-NL"/>
                        </w:rPr>
                        <w:t>Standaarden</w:t>
                      </w:r>
                      <w:r w:rsidRPr="004B1388">
                        <w:rPr>
                          <w:rFonts w:asciiTheme="majorHAnsi" w:hAnsiTheme="majorHAnsi" w:cstheme="majorHAnsi"/>
                          <w:sz w:val="22"/>
                          <w:szCs w:val="22"/>
                          <w:lang w:val="nl-NL"/>
                        </w:rPr>
                        <w:t xml:space="preserve"> die per 1 januari 2017 van kracht zijn</w:t>
                      </w:r>
                    </w:p>
                    <w:p w:rsidR="005A0CAD" w:rsidRPr="004B1388" w:rsidRDefault="005A0CAD" w:rsidP="002F57B5">
                      <w:pPr>
                        <w:pStyle w:val="RedBullets"/>
                        <w:numPr>
                          <w:ilvl w:val="0"/>
                          <w:numId w:val="0"/>
                        </w:numPr>
                        <w:rPr>
                          <w:rFonts w:asciiTheme="majorHAnsi" w:hAnsiTheme="majorHAnsi" w:cstheme="majorHAnsi"/>
                          <w:sz w:val="22"/>
                          <w:szCs w:val="22"/>
                        </w:rPr>
                      </w:pPr>
                    </w:p>
                    <w:p w:rsidR="002F57B5" w:rsidRPr="008F2569" w:rsidRDefault="002F57B5" w:rsidP="002F57B5">
                      <w:pPr>
                        <w:pStyle w:val="RedBullets"/>
                        <w:numPr>
                          <w:ilvl w:val="0"/>
                          <w:numId w:val="0"/>
                        </w:numPr>
                        <w:rPr>
                          <w:rFonts w:asciiTheme="majorHAnsi" w:hAnsiTheme="majorHAnsi" w:cstheme="majorHAnsi"/>
                        </w:rPr>
                      </w:pPr>
                    </w:p>
                  </w:txbxContent>
                </v:textbox>
                <w10:wrap type="square" anchorx="margin" anchory="margin"/>
              </v:shape>
            </w:pict>
          </mc:Fallback>
        </mc:AlternateContent>
      </w:r>
      <w:r w:rsidR="00685768" w:rsidRPr="004B1388">
        <w:rPr>
          <w:rFonts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Implementatierichtlijn 10</w:t>
                            </w:r>
                            <w:r w:rsidR="005A0CAD">
                              <w:rPr>
                                <w:color w:val="FFFFFF" w:themeColor="background1"/>
                                <w:sz w:val="50"/>
                                <w:szCs w:val="50"/>
                                <w:lang w:val="nl-NL"/>
                                <w14:textOutline w14:w="9525" w14:cap="flat" w14:cmpd="sng" w14:algn="ctr">
                                  <w14:noFill/>
                                  <w14:prstDash w14:val="solid"/>
                                  <w14:round/>
                                </w14:textOutline>
                              </w:rPr>
                              <w:t>1</w:t>
                            </w:r>
                            <w:r w:rsidR="002F57B5" w:rsidRPr="00E6381B">
                              <w:rPr>
                                <w:color w:val="FFFFFF" w:themeColor="background1"/>
                                <w:sz w:val="50"/>
                                <w:szCs w:val="50"/>
                                <w:lang w:val="nl-NL"/>
                                <w14:textOutline w14:w="9525" w14:cap="flat" w14:cmpd="sng" w14:algn="ctr">
                                  <w14:noFill/>
                                  <w14:prstDash w14:val="solid"/>
                                  <w14:round/>
                                </w14:textOutline>
                              </w:rPr>
                              <w:t>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Implementatierichtlijn 10</w:t>
                      </w:r>
                      <w:r w:rsidR="005A0CAD">
                        <w:rPr>
                          <w:color w:val="FFFFFF" w:themeColor="background1"/>
                          <w:sz w:val="50"/>
                          <w:szCs w:val="50"/>
                          <w:lang w:val="nl-NL"/>
                          <w14:textOutline w14:w="9525" w14:cap="flat" w14:cmpd="sng" w14:algn="ctr">
                            <w14:noFill/>
                            <w14:prstDash w14:val="solid"/>
                            <w14:round/>
                          </w14:textOutline>
                        </w:rPr>
                        <w:t>1</w:t>
                      </w:r>
                      <w:r w:rsidR="002F57B5" w:rsidRPr="00E6381B">
                        <w:rPr>
                          <w:color w:val="FFFFFF" w:themeColor="background1"/>
                          <w:sz w:val="50"/>
                          <w:szCs w:val="50"/>
                          <w:lang w:val="nl-NL"/>
                          <w14:textOutline w14:w="9525" w14:cap="flat" w14:cmpd="sng" w14:algn="ctr">
                            <w14:noFill/>
                            <w14:prstDash w14:val="solid"/>
                            <w14:round/>
                          </w14:textOutline>
                        </w:rPr>
                        <w:t>0</w:t>
                      </w:r>
                    </w:p>
                  </w:txbxContent>
                </v:textbox>
                <w10:wrap type="square" anchorx="page" anchory="page"/>
              </v:shape>
            </w:pict>
          </mc:Fallback>
        </mc:AlternateContent>
      </w:r>
    </w:p>
    <w:p w:rsidR="002F57B5" w:rsidRPr="004B1388" w:rsidRDefault="00685768" w:rsidP="002F57B5">
      <w:pPr>
        <w:pStyle w:val="TemplateHeadline"/>
        <w:rPr>
          <w:rFonts w:asciiTheme="minorHAnsi" w:hAnsiTheme="minorHAnsi" w:cstheme="minorHAnsi"/>
          <w:lang w:val="nl-NL"/>
        </w:rPr>
      </w:pPr>
      <w:r w:rsidRPr="004B1388">
        <w:rPr>
          <w:rFonts w:asciiTheme="minorHAnsi" w:hAnsiTheme="minorHAnsi" w:cstheme="minorHAnsi"/>
          <w:lang w:val="nl-NL"/>
        </w:rPr>
        <w:t xml:space="preserve">Inleiding </w:t>
      </w:r>
    </w:p>
    <w:p w:rsidR="00DF51BE" w:rsidRPr="004B1388" w:rsidRDefault="00E90A08" w:rsidP="0081412E">
      <w:pPr>
        <w:pStyle w:val="TemplateHeadline"/>
        <w:rPr>
          <w:rFonts w:asciiTheme="minorHAnsi" w:hAnsiTheme="minorHAnsi" w:cstheme="minorHAnsi"/>
          <w:color w:val="000000"/>
          <w:sz w:val="22"/>
          <w:szCs w:val="22"/>
          <w:lang w:val="nl-NL"/>
        </w:rPr>
      </w:pPr>
      <w:r w:rsidRPr="004B1388">
        <w:rPr>
          <w:rFonts w:asciiTheme="minorHAnsi" w:hAnsiTheme="minorHAnsi" w:cstheme="minorHAnsi"/>
          <w:color w:val="000000"/>
          <w:sz w:val="22"/>
          <w:szCs w:val="22"/>
          <w:lang w:val="nl-NL"/>
        </w:rPr>
        <w:t xml:space="preserve">Alvorens het internal auditcharter te schrijven of herzien, raadpleegt het hoofd van de internal auditfunctie (chief audit executive (CAE)) meestal wederom het internationale raamwerk voor de beroepsuitoefening (International Professional </w:t>
      </w:r>
      <w:proofErr w:type="spellStart"/>
      <w:r w:rsidRPr="004B1388">
        <w:rPr>
          <w:rFonts w:asciiTheme="minorHAnsi" w:hAnsiTheme="minorHAnsi" w:cstheme="minorHAnsi"/>
          <w:color w:val="000000"/>
          <w:sz w:val="22"/>
          <w:szCs w:val="22"/>
          <w:lang w:val="nl-NL"/>
        </w:rPr>
        <w:t>Practices</w:t>
      </w:r>
      <w:proofErr w:type="spellEnd"/>
      <w:r w:rsidRPr="004B1388">
        <w:rPr>
          <w:rFonts w:asciiTheme="minorHAnsi" w:hAnsiTheme="minorHAnsi" w:cstheme="minorHAnsi"/>
          <w:color w:val="000000"/>
          <w:sz w:val="22"/>
          <w:szCs w:val="22"/>
          <w:lang w:val="nl-NL"/>
        </w:rPr>
        <w:t xml:space="preserve"> Framework (IPPF)) van het IIA om zijn of haar kennis op te frissen van de missie van internal auditing en de verplichte elementen, met inbegrip van de kernbeginselen van de beroepsuitoefening van internal auditing, de Gedragscode, de </w:t>
      </w:r>
      <w:r w:rsidRPr="004B1388">
        <w:rPr>
          <w:rFonts w:asciiTheme="minorHAnsi" w:hAnsiTheme="minorHAnsi" w:cstheme="minorHAnsi"/>
          <w:i/>
          <w:color w:val="000000"/>
          <w:sz w:val="22"/>
          <w:szCs w:val="22"/>
          <w:lang w:val="nl-NL"/>
        </w:rPr>
        <w:t>Internationale Standaarden voor de Beroepsuitoefening van internal auditing</w:t>
      </w:r>
      <w:r w:rsidRPr="004B1388">
        <w:rPr>
          <w:rFonts w:asciiTheme="minorHAnsi" w:hAnsiTheme="minorHAnsi" w:cstheme="minorHAnsi"/>
          <w:color w:val="000000"/>
          <w:sz w:val="22"/>
          <w:szCs w:val="22"/>
          <w:lang w:val="nl-NL"/>
        </w:rPr>
        <w:t xml:space="preserve">, en de definitie van internal auditing. De CAE is verplicht om het internal auditcharter periodiek opnieuw te beoordelen en aan het senior management en het bestuur ter goedkeuring voor te leggen (zie Standaard 1000 – Doel, bevoegdheid en verantwoordelijkheid). Het is nuttig als de CAE op de hoogte is van de procedure van de organisatie voor het ter goedkeuring voorleggen van het internal auditcharter. De CAE kan ook een bespreking van </w:t>
      </w:r>
      <w:r w:rsidRPr="004B1388">
        <w:rPr>
          <w:rFonts w:asciiTheme="minorHAnsi" w:hAnsiTheme="minorHAnsi" w:cstheme="minorHAnsi"/>
          <w:color w:val="000000"/>
          <w:sz w:val="22"/>
          <w:szCs w:val="22"/>
          <w:lang w:val="nl-NL"/>
        </w:rPr>
        <w:lastRenderedPageBreak/>
        <w:t>het charter met senior management en het bestuur afspreken in het kader van het periodieke beoordelings- en revisieproces.</w:t>
      </w:r>
    </w:p>
    <w:p w:rsidR="00DE265B" w:rsidRPr="004B1388" w:rsidRDefault="00DE265B" w:rsidP="0081412E">
      <w:pPr>
        <w:pStyle w:val="TemplateHeadline"/>
        <w:rPr>
          <w:rFonts w:asciiTheme="minorHAnsi" w:hAnsiTheme="minorHAnsi" w:cstheme="minorHAnsi"/>
          <w:color w:val="000000"/>
          <w:sz w:val="22"/>
          <w:szCs w:val="22"/>
          <w:lang w:val="nl-NL"/>
        </w:rPr>
      </w:pPr>
    </w:p>
    <w:p w:rsidR="002F57B5" w:rsidRPr="004B1388" w:rsidRDefault="00685768" w:rsidP="002F57B5">
      <w:pPr>
        <w:pStyle w:val="TemplateHeadline"/>
        <w:rPr>
          <w:rFonts w:asciiTheme="minorHAnsi" w:hAnsiTheme="minorHAnsi" w:cstheme="minorHAnsi"/>
          <w:lang w:val="nl-NL"/>
        </w:rPr>
      </w:pPr>
      <w:r w:rsidRPr="004B1388">
        <w:rPr>
          <w:rFonts w:asciiTheme="minorHAnsi" w:hAnsiTheme="minorHAnsi" w:cstheme="minorHAnsi"/>
          <w:lang w:val="nl-NL"/>
        </w:rPr>
        <w:t xml:space="preserve">Overwegingen bij de implementatie </w:t>
      </w:r>
    </w:p>
    <w:p w:rsidR="00E90A08" w:rsidRPr="004B1388" w:rsidRDefault="00E90A08" w:rsidP="00E90A08">
      <w:pPr>
        <w:pStyle w:val="TemplateHeadline"/>
        <w:spacing w:line="288" w:lineRule="auto"/>
        <w:rPr>
          <w:rFonts w:asciiTheme="minorHAnsi" w:hAnsiTheme="minorHAnsi" w:cstheme="minorHAnsi"/>
          <w:color w:val="000000"/>
          <w:sz w:val="22"/>
          <w:szCs w:val="22"/>
          <w:lang w:val="nl-NL"/>
        </w:rPr>
      </w:pPr>
      <w:r w:rsidRPr="004B1388">
        <w:rPr>
          <w:rFonts w:asciiTheme="minorHAnsi" w:hAnsiTheme="minorHAnsi" w:cstheme="minorHAnsi"/>
          <w:color w:val="000000"/>
          <w:sz w:val="22"/>
          <w:szCs w:val="22"/>
          <w:lang w:val="nl-NL"/>
        </w:rPr>
        <w:t>Om de verplichte elementen van het IPPF in het internal auditcharter te erkennen, kan de CAE specifieke uitspraken doen. Een voorbeeld hiervan is:</w:t>
      </w:r>
    </w:p>
    <w:p w:rsidR="00E90A08" w:rsidRPr="004B1388" w:rsidRDefault="00E90A08" w:rsidP="00E90A08">
      <w:pPr>
        <w:pStyle w:val="TemplateBodyText"/>
        <w:rPr>
          <w:rFonts w:asciiTheme="minorHAnsi" w:hAnsiTheme="minorHAnsi" w:cstheme="minorHAnsi"/>
          <w:sz w:val="22"/>
          <w:szCs w:val="22"/>
          <w:lang w:val="nl-NL"/>
        </w:rPr>
      </w:pPr>
      <w:r w:rsidRPr="004B1388">
        <w:rPr>
          <w:rFonts w:asciiTheme="minorHAnsi" w:hAnsiTheme="minorHAnsi" w:cstheme="minorHAnsi"/>
          <w:sz w:val="22"/>
          <w:szCs w:val="22"/>
          <w:lang w:val="nl-NL"/>
        </w:rPr>
        <w:t xml:space="preserve">"De internal auditfunctie zal zich onderwerpen aan de dwingende richtlijnen van The </w:t>
      </w:r>
      <w:proofErr w:type="spellStart"/>
      <w:r w:rsidRPr="004B1388">
        <w:rPr>
          <w:rFonts w:asciiTheme="minorHAnsi" w:hAnsiTheme="minorHAnsi" w:cstheme="minorHAnsi"/>
          <w:sz w:val="22"/>
          <w:szCs w:val="22"/>
          <w:lang w:val="nl-NL"/>
        </w:rPr>
        <w:t>Institute</w:t>
      </w:r>
      <w:proofErr w:type="spellEnd"/>
      <w:r w:rsidRPr="004B1388">
        <w:rPr>
          <w:rFonts w:asciiTheme="minorHAnsi" w:hAnsiTheme="minorHAnsi" w:cstheme="minorHAnsi"/>
          <w:sz w:val="22"/>
          <w:szCs w:val="22"/>
          <w:lang w:val="nl-NL"/>
        </w:rPr>
        <w:t xml:space="preserve"> of Internal Auditors, die de kernbeginselen van de beroepsuitoefening van internal audit, de Gedragscode, de </w:t>
      </w:r>
      <w:r w:rsidRPr="004B1388">
        <w:rPr>
          <w:rFonts w:asciiTheme="minorHAnsi" w:hAnsiTheme="minorHAnsi" w:cstheme="minorHAnsi"/>
          <w:i/>
          <w:iCs/>
          <w:sz w:val="22"/>
          <w:szCs w:val="22"/>
          <w:lang w:val="nl-NL"/>
        </w:rPr>
        <w:t>Internationale Standaarden voor de Beroepsuitoefening van internal auditing</w:t>
      </w:r>
      <w:r w:rsidRPr="004B1388">
        <w:rPr>
          <w:rFonts w:asciiTheme="minorHAnsi" w:hAnsiTheme="minorHAnsi" w:cstheme="minorHAnsi"/>
          <w:sz w:val="22"/>
          <w:szCs w:val="22"/>
          <w:lang w:val="nl-NL"/>
        </w:rPr>
        <w:t>, en de definitie van internal audit omvat. De dwingende richtlijnen van het IIA zijn fundamentele vereisten voor de professionele praktijk van internal audit en de beginselen voor de beoordeling van de effectiviteit van de prestaties van de internal auditfunctie."</w:t>
      </w:r>
    </w:p>
    <w:p w:rsidR="00E90A08" w:rsidRPr="004B1388" w:rsidRDefault="00E90A08" w:rsidP="00E90A08">
      <w:pPr>
        <w:pStyle w:val="TemplateBodyText"/>
        <w:rPr>
          <w:rFonts w:asciiTheme="minorHAnsi" w:hAnsiTheme="minorHAnsi" w:cstheme="minorHAnsi"/>
          <w:sz w:val="22"/>
          <w:szCs w:val="22"/>
          <w:lang w:val="nl-NL"/>
        </w:rPr>
      </w:pPr>
      <w:r w:rsidRPr="004B1388">
        <w:rPr>
          <w:rFonts w:asciiTheme="minorHAnsi" w:hAnsiTheme="minorHAnsi" w:cstheme="minorHAnsi"/>
          <w:sz w:val="22"/>
          <w:szCs w:val="22"/>
          <w:lang w:val="nl-NL"/>
        </w:rPr>
        <w:t>Een alternatief voor het gebruik van specifieke formuleringen is dat in het hele internal auditcharter taal en inhoud worden gebruikt die naleving van de dwingende richtlijnen vereisen.</w:t>
      </w:r>
    </w:p>
    <w:p w:rsidR="00E90A08" w:rsidRPr="004B1388" w:rsidRDefault="00E90A08" w:rsidP="00E90A08">
      <w:pPr>
        <w:pStyle w:val="TemplateBodyText"/>
        <w:rPr>
          <w:rFonts w:asciiTheme="minorHAnsi" w:hAnsiTheme="minorHAnsi" w:cstheme="minorHAnsi"/>
          <w:sz w:val="22"/>
          <w:szCs w:val="22"/>
          <w:lang w:val="nl-NL"/>
        </w:rPr>
      </w:pPr>
      <w:r w:rsidRPr="004B1388">
        <w:rPr>
          <w:rFonts w:asciiTheme="minorHAnsi" w:hAnsiTheme="minorHAnsi" w:cstheme="minorHAnsi"/>
          <w:sz w:val="22"/>
          <w:szCs w:val="22"/>
          <w:lang w:val="nl-NL"/>
        </w:rPr>
        <w:t>De CAE's bespreking van het internal auditcharter met senior management en het bestuur is een goede gelegenheid om de missie van internal audit en de verplichte elementen van het IPPF te verklaren, evenals de wijze waarop deze elementen worden onderkend in het charter. Nadat het charter is goedgekeurd, is het belangrijk dat de CAE de dwingende richtlijnen van het IIA monitort en tijdens de volgende beoordeling van het charter eventuele wijzigingen bespreekt die gerechtvaardigd zijn.</w:t>
      </w:r>
    </w:p>
    <w:p w:rsidR="002F57B5" w:rsidRPr="004B1388" w:rsidRDefault="002F57B5" w:rsidP="002F57B5">
      <w:pPr>
        <w:pStyle w:val="TemplateHeadline"/>
        <w:rPr>
          <w:rFonts w:asciiTheme="minorHAnsi" w:hAnsiTheme="minorHAnsi" w:cstheme="minorHAnsi"/>
          <w:color w:val="000000"/>
          <w:sz w:val="22"/>
          <w:szCs w:val="22"/>
          <w:lang w:val="nl-NL"/>
        </w:rPr>
      </w:pPr>
    </w:p>
    <w:p w:rsidR="002F57B5" w:rsidRPr="004B1388" w:rsidRDefault="00685768" w:rsidP="002F57B5">
      <w:pPr>
        <w:pStyle w:val="TemplateHeadline"/>
        <w:rPr>
          <w:rFonts w:asciiTheme="minorHAnsi" w:hAnsiTheme="minorHAnsi" w:cstheme="minorHAnsi"/>
          <w:lang w:val="nl-NL"/>
        </w:rPr>
      </w:pPr>
      <w:r w:rsidRPr="004B1388">
        <w:rPr>
          <w:rFonts w:asciiTheme="minorHAnsi" w:hAnsiTheme="minorHAnsi" w:cstheme="minorHAnsi"/>
          <w:lang w:val="nl-NL"/>
        </w:rPr>
        <w:t>Overwegingen b</w:t>
      </w:r>
      <w:r w:rsidR="002F57B5" w:rsidRPr="004B1388">
        <w:rPr>
          <w:rFonts w:asciiTheme="minorHAnsi" w:hAnsiTheme="minorHAnsi" w:cstheme="minorHAnsi"/>
          <w:lang w:val="nl-NL"/>
        </w:rPr>
        <w:t>ij het aantonen van de naleving</w:t>
      </w:r>
    </w:p>
    <w:p w:rsidR="002F57B5" w:rsidRPr="004B1388" w:rsidRDefault="00443735" w:rsidP="00443735">
      <w:pPr>
        <w:pStyle w:val="TemplateBodyText"/>
        <w:rPr>
          <w:rFonts w:asciiTheme="minorHAnsi" w:hAnsiTheme="minorHAnsi" w:cstheme="minorHAnsi"/>
          <w:sz w:val="22"/>
          <w:szCs w:val="22"/>
          <w:lang w:val="nl-NL"/>
        </w:rPr>
      </w:pPr>
      <w:r w:rsidRPr="004B1388">
        <w:rPr>
          <w:rFonts w:asciiTheme="minorHAnsi" w:hAnsiTheme="minorHAnsi" w:cstheme="minorHAnsi"/>
          <w:sz w:val="22"/>
          <w:szCs w:val="22"/>
          <w:lang w:val="nl-NL"/>
        </w:rPr>
        <w:t xml:space="preserve">Naleving van Standaard 1010 blijkt uit het schriftelijke en goedgekeurde internal auditcharter dat de kernbeginselen van de beroepsuitoefening van internal audit, de Gedragscode, de standaarden, en de definitie van internal audit als verplichte elementen erkent. Naleving kan ook worden aangetoond door de notulen van vergaderingen waarin deze verplichte elementen en de missie van internal audit met senior management en het bestuur werden besproken. Dit kunnen ook notulen zijn van vergaderingen </w:t>
      </w:r>
      <w:r w:rsidR="004B1388" w:rsidRPr="004B1388">
        <w:rPr>
          <w:rFonts w:asciiTheme="minorHAnsi" w:hAnsiTheme="minorHAnsi" w:cstheme="minorHAnsi"/>
          <w:noProof/>
          <w:sz w:val="22"/>
          <w:szCs w:val="22"/>
          <w:lang w:val="nl-NL" w:eastAsia="nl-NL"/>
        </w:rPr>
        <w:lastRenderedPageBreak/>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margin">
                  <wp:align>bottom</wp:align>
                </wp:positionV>
                <wp:extent cx="6400800" cy="52006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200650"/>
                        </a:xfrm>
                        <a:prstGeom prst="rect">
                          <a:avLst/>
                        </a:prstGeom>
                        <a:solidFill>
                          <a:sysClr val="window" lastClr="FFFFFF">
                            <a:lumMod val="85000"/>
                          </a:sys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452.8pt;margin-top:0;width:7in;height:409.5pt;z-index:251660288;visibility:visible;mso-wrap-style:square;mso-height-percent:0;mso-wrap-distance-left:9pt;mso-wrap-distance-top:36pt;mso-wrap-distance-right:9pt;mso-wrap-distance-bottom:21.6pt;mso-position-horizontal:right;mso-position-horizontal-relative:margin;mso-position-vertical:bottom;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margin"/>
              </v:shape>
            </w:pict>
          </mc:Fallback>
        </mc:AlternateContent>
      </w:r>
      <w:r w:rsidRPr="004B1388">
        <w:rPr>
          <w:rFonts w:asciiTheme="minorHAnsi" w:hAnsiTheme="minorHAnsi" w:cstheme="minorHAnsi"/>
          <w:sz w:val="22"/>
          <w:szCs w:val="22"/>
          <w:lang w:val="nl-NL"/>
        </w:rPr>
        <w:t>waarin de CAE periodieke beoordelingen van het charter heeft besproken.</w:t>
      </w:r>
    </w:p>
    <w:sectPr w:rsidR="002F57B5" w:rsidRPr="004B1388"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60513F">
      <w:rPr>
        <w:rStyle w:val="Paginanummer"/>
        <w:noProof/>
        <w:color w:val="535953"/>
        <w:sz w:val="16"/>
        <w:szCs w:val="16"/>
      </w:rPr>
      <w:t>2</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60513F">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3A5073">
    <w:r>
      <w:rPr>
        <w:noProof/>
        <w:lang w:val="nl-NL" w:eastAsia="nl-NL"/>
      </w:rPr>
      <w:drawing>
        <wp:anchor distT="0" distB="0" distL="114300" distR="114300" simplePos="0" relativeHeight="251658240" behindDoc="1" locked="0" layoutInCell="1" allowOverlap="1">
          <wp:simplePos x="0" y="0"/>
          <wp:positionH relativeFrom="page">
            <wp:align>right</wp:align>
          </wp:positionH>
          <wp:positionV relativeFrom="page">
            <wp:posOffset>180975</wp:posOffset>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2F57B5">
      <w:rPr>
        <w:noProof/>
        <w:lang w:val="nl-NL" w:eastAsia="nl-NL"/>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topMargin">
                <wp:posOffset>628650</wp:posOffset>
              </wp:positionV>
              <wp:extent cx="6172200" cy="533400"/>
              <wp:effectExtent l="0" t="0" r="0" b="0"/>
              <wp:wrapThrough wrapText="bothSides">
                <wp:wrapPolygon edited="0">
                  <wp:start x="133" y="0"/>
                  <wp:lineTo x="133" y="20829"/>
                  <wp:lineTo x="21400" y="20829"/>
                  <wp:lineTo x="21400" y="0"/>
                  <wp:lineTo x="133"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5334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AA0CBD">
                          <w:pPr>
                            <w:rPr>
                              <w:rFonts w:ascii="Arial" w:hAnsi="Arial" w:cs="Arial"/>
                              <w:color w:val="002239" w:themeColor="text2" w:themeShade="80"/>
                            </w:rPr>
                          </w:pPr>
                          <w:r>
                            <w:rPr>
                              <w:rFonts w:ascii="Arial" w:hAnsi="Arial" w:cs="Arial"/>
                              <w:color w:val="0F1F4B"/>
                              <w:lang w:val="nl-NL"/>
                            </w:rPr>
                            <w:t>Implementatierichtlijn 10</w:t>
                          </w:r>
                          <w:r w:rsidR="00FF046F">
                            <w:rPr>
                              <w:rFonts w:ascii="Arial" w:hAnsi="Arial" w:cs="Arial"/>
                              <w:color w:val="0F1F4B"/>
                              <w:lang w:val="nl-NL"/>
                            </w:rPr>
                            <w:t>1</w:t>
                          </w:r>
                          <w:r w:rsidR="002F57B5">
                            <w:rPr>
                              <w:rFonts w:ascii="Arial" w:hAnsi="Arial" w:cs="Arial"/>
                              <w:color w:val="0F1F4B"/>
                              <w:lang w:val="nl-NL"/>
                            </w:rPr>
                            <w:t>0</w:t>
                          </w:r>
                          <w:r w:rsidR="003A5073">
                            <w:rPr>
                              <w:rFonts w:ascii="Arial" w:hAnsi="Arial" w:cs="Arial"/>
                              <w:color w:val="0F1F4B"/>
                              <w:lang w:val="nl-NL"/>
                            </w:rPr>
                            <w:t xml:space="preserve"> -</w:t>
                          </w:r>
                          <w:r w:rsidR="002F57B5">
                            <w:rPr>
                              <w:rFonts w:ascii="Arial" w:hAnsi="Arial" w:cs="Arial"/>
                              <w:color w:val="002239" w:themeColor="text2" w:themeShade="80"/>
                              <w:lang w:val="nl-NL"/>
                            </w:rPr>
                            <w:t xml:space="preserve"> </w:t>
                          </w:r>
                          <w:r w:rsidR="00FF046F" w:rsidRPr="00FF046F">
                            <w:rPr>
                              <w:rFonts w:ascii="Arial" w:hAnsi="Arial" w:cs="Arial"/>
                              <w:color w:val="002239" w:themeColor="text2" w:themeShade="80"/>
                              <w:lang w:val="nl-NL"/>
                            </w:rPr>
                            <w:t>Erkenning van verplichte begeleiding in het internal-auditcharter</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34.8pt;margin-top:49.5pt;width:486pt;height:4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" filled="f" stroked="f">
              <v:textbox>
                <w:txbxContent>
                  <w:p w:rsidR="002F57B5" w:rsidRPr="006227FD" w:rsidRDefault="00AA0CBD">
                    <w:pPr>
                      <w:rPr>
                        <w:rFonts w:ascii="Arial" w:hAnsi="Arial" w:cs="Arial"/>
                        <w:color w:val="002239" w:themeColor="text2" w:themeShade="80"/>
                      </w:rPr>
                    </w:pPr>
                    <w:r>
                      <w:rPr>
                        <w:rFonts w:ascii="Arial" w:hAnsi="Arial" w:cs="Arial"/>
                        <w:color w:val="0F1F4B"/>
                        <w:lang w:val="nl-NL"/>
                      </w:rPr>
                      <w:t>Implementatierichtlijn 10</w:t>
                    </w:r>
                    <w:r w:rsidR="00FF046F">
                      <w:rPr>
                        <w:rFonts w:ascii="Arial" w:hAnsi="Arial" w:cs="Arial"/>
                        <w:color w:val="0F1F4B"/>
                        <w:lang w:val="nl-NL"/>
                      </w:rPr>
                      <w:t>1</w:t>
                    </w:r>
                    <w:r w:rsidR="002F57B5">
                      <w:rPr>
                        <w:rFonts w:ascii="Arial" w:hAnsi="Arial" w:cs="Arial"/>
                        <w:color w:val="0F1F4B"/>
                        <w:lang w:val="nl-NL"/>
                      </w:rPr>
                      <w:t>0</w:t>
                    </w:r>
                    <w:r w:rsidR="003A5073">
                      <w:rPr>
                        <w:rFonts w:ascii="Arial" w:hAnsi="Arial" w:cs="Arial"/>
                        <w:color w:val="0F1F4B"/>
                        <w:lang w:val="nl-NL"/>
                      </w:rPr>
                      <w:t xml:space="preserve"> -</w:t>
                    </w:r>
                    <w:r w:rsidR="002F57B5">
                      <w:rPr>
                        <w:rFonts w:ascii="Arial" w:hAnsi="Arial" w:cs="Arial"/>
                        <w:color w:val="002239" w:themeColor="text2" w:themeShade="80"/>
                        <w:lang w:val="nl-NL"/>
                      </w:rPr>
                      <w:t xml:space="preserve"> </w:t>
                    </w:r>
                    <w:r w:rsidR="00FF046F" w:rsidRPr="00FF046F">
                      <w:rPr>
                        <w:rFonts w:ascii="Arial" w:hAnsi="Arial" w:cs="Arial"/>
                        <w:color w:val="002239" w:themeColor="text2" w:themeShade="80"/>
                        <w:lang w:val="nl-NL"/>
                      </w:rPr>
                      <w:t>Erkenning van verplichte begeleiding in het internal-auditcharter</w:t>
                    </w:r>
                  </w:p>
                </w:txbxContent>
              </v:textbox>
              <w10:wrap type="through"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align>right</wp:align>
          </wp:positionH>
          <wp:positionV relativeFrom="page">
            <wp:align>top</wp:align>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1"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2"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0C60D4"/>
    <w:rsid w:val="001B11A8"/>
    <w:rsid w:val="00284E07"/>
    <w:rsid w:val="002F57B5"/>
    <w:rsid w:val="0036281C"/>
    <w:rsid w:val="003A5073"/>
    <w:rsid w:val="00443735"/>
    <w:rsid w:val="004B1388"/>
    <w:rsid w:val="005A0CAD"/>
    <w:rsid w:val="005C501B"/>
    <w:rsid w:val="0060513F"/>
    <w:rsid w:val="00665553"/>
    <w:rsid w:val="00685768"/>
    <w:rsid w:val="0081412E"/>
    <w:rsid w:val="008F2569"/>
    <w:rsid w:val="00A96503"/>
    <w:rsid w:val="00AA0CBD"/>
    <w:rsid w:val="00BB5EB1"/>
    <w:rsid w:val="00BC3D33"/>
    <w:rsid w:val="00C6368B"/>
    <w:rsid w:val="00D20CA4"/>
    <w:rsid w:val="00DE265B"/>
    <w:rsid w:val="00DF51BE"/>
    <w:rsid w:val="00E90A08"/>
    <w:rsid w:val="00FF046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B01FFE"/>
    <w:pPr>
      <w:numPr>
        <w:numId w:val="3"/>
      </w:numPr>
    </w:p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Geenafstand">
    <w:name w:val="No Spacing"/>
    <w:uiPriority w:val="1"/>
    <w:qFormat/>
    <w:rsid w:val="00FF046F"/>
  </w:style>
  <w:style w:type="character" w:customStyle="1" w:styleId="TemplateBodyTextChar">
    <w:name w:val="Template Body Text Char"/>
    <w:basedOn w:val="PlattetekstChar"/>
    <w:link w:val="TemplateBodyText"/>
    <w:uiPriority w:val="99"/>
    <w:rsid w:val="00E90A08"/>
    <w:rPr>
      <w:rFonts w:ascii="ArialMT"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A3D0C0-55DB-4E0D-BF50-D5591983C309}">
  <ds:schemaRefs>
    <ds:schemaRef ds:uri="http://schemas.openxmlformats.org/officeDocument/2006/bibliography"/>
  </ds:schemaRefs>
</ds:datastoreItem>
</file>

<file path=customXml/itemProps2.xml><?xml version="1.0" encoding="utf-8"?>
<ds:datastoreItem xmlns:ds="http://schemas.openxmlformats.org/officeDocument/2006/customXml" ds:itemID="{01FF4BA6-E965-4210-98E3-809F1AADDD5D}"/>
</file>

<file path=customXml/itemProps3.xml><?xml version="1.0" encoding="utf-8"?>
<ds:datastoreItem xmlns:ds="http://schemas.openxmlformats.org/officeDocument/2006/customXml" ds:itemID="{6C04D548-B1DF-4EB6-80E7-255D4B5552D2}"/>
</file>

<file path=customXml/itemProps4.xml><?xml version="1.0" encoding="utf-8"?>
<ds:datastoreItem xmlns:ds="http://schemas.openxmlformats.org/officeDocument/2006/customXml" ds:itemID="{DC313C43-3084-4DBE-936B-BFE7BB3F4EF1}"/>
</file>

<file path=docProps/app.xml><?xml version="1.0" encoding="utf-8"?>
<Properties xmlns="http://schemas.openxmlformats.org/officeDocument/2006/extended-properties" xmlns:vt="http://schemas.openxmlformats.org/officeDocument/2006/docPropsVTypes">
  <Template>50B9DBD7</Template>
  <TotalTime>27</TotalTime>
  <Pages>3</Pages>
  <Words>485</Words>
  <Characters>2670</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Citro</dc:creator>
  <cp:lastModifiedBy>Linda Poort</cp:lastModifiedBy>
  <cp:revision>21</cp:revision>
  <dcterms:created xsi:type="dcterms:W3CDTF">2017-08-18T08:39:00Z</dcterms:created>
  <dcterms:modified xsi:type="dcterms:W3CDTF">2017-08-21T12:31:00Z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