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FCE" w:rsidRPr="00F80685" w:rsidRDefault="004A7B3D" w:rsidP="00AF61BE">
      <w:pPr>
        <w:pStyle w:val="TemplateHeadline"/>
        <w:rPr>
          <w:rFonts w:asciiTheme="minorHAnsi" w:hAnsiTheme="minorHAnsi" w:cstheme="minorHAnsi"/>
        </w:rPr>
      </w:pPr>
      <w:r w:rsidRPr="00F80685">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margin">
                  <wp:posOffset>1485900</wp:posOffset>
                </wp:positionV>
                <wp:extent cx="6400800" cy="6400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4008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F80685" w:rsidRDefault="004A7B3D" w:rsidP="00B61C77">
                            <w:pPr>
                              <w:pStyle w:val="TemplateHeadline"/>
                              <w:rPr>
                                <w:rFonts w:asciiTheme="minorHAnsi" w:hAnsiTheme="minorHAnsi" w:cstheme="minorHAnsi"/>
                              </w:rPr>
                            </w:pPr>
                            <w:r w:rsidRPr="00F80685">
                              <w:rPr>
                                <w:rFonts w:asciiTheme="minorHAnsi" w:hAnsiTheme="minorHAnsi" w:cstheme="minorHAnsi"/>
                                <w:lang w:val="nl-NL"/>
                              </w:rPr>
                              <w:t>Standaard 1110 - Organisatorische onafhankelijkheid</w:t>
                            </w:r>
                          </w:p>
                          <w:p w:rsidR="00375FCE" w:rsidRPr="00F80685" w:rsidRDefault="004A7B3D" w:rsidP="00375FCE">
                            <w:pPr>
                              <w:pStyle w:val="RedBullets"/>
                              <w:numPr>
                                <w:ilvl w:val="0"/>
                                <w:numId w:val="0"/>
                              </w:numPr>
                              <w:rPr>
                                <w:rFonts w:asciiTheme="minorHAnsi" w:hAnsiTheme="minorHAnsi" w:cstheme="minorHAnsi"/>
                                <w:sz w:val="22"/>
                                <w:szCs w:val="22"/>
                              </w:rPr>
                            </w:pPr>
                            <w:r w:rsidRPr="00F80685">
                              <w:rPr>
                                <w:rFonts w:asciiTheme="minorHAnsi" w:hAnsiTheme="minorHAnsi" w:cstheme="minorHAnsi"/>
                                <w:sz w:val="22"/>
                                <w:szCs w:val="22"/>
                                <w:lang w:val="nl-NL"/>
                              </w:rPr>
                              <w:t>Het hoofd van de internal auditfunctie moet rapporteren aan een niveau binnen de organisatie dat het mogelijk maakt dat de internal auditfunctie haar verantwoordelijkheden kan dragen. Het hoofd van de internal auditfunctie moet in ieder geval eenmaal per jaar de onafhankelijkheid van de internal auditfunctie binnen de organisatie bevestigen aan het bestuur.</w:t>
                            </w:r>
                          </w:p>
                          <w:p w:rsidR="00375FCE" w:rsidRPr="00F80685" w:rsidRDefault="00FF7487" w:rsidP="00F80685">
                            <w:pPr>
                              <w:pStyle w:val="Geenafstand"/>
                            </w:pPr>
                          </w:p>
                          <w:p w:rsidR="00375FCE" w:rsidRDefault="004A7B3D" w:rsidP="00375FCE">
                            <w:pPr>
                              <w:pStyle w:val="RedBullets"/>
                              <w:numPr>
                                <w:ilvl w:val="0"/>
                                <w:numId w:val="0"/>
                              </w:numPr>
                              <w:rPr>
                                <w:rFonts w:asciiTheme="minorHAnsi" w:hAnsiTheme="minorHAnsi" w:cstheme="minorHAnsi"/>
                                <w:b/>
                                <w:bCs/>
                                <w:lang w:val="nl-NL"/>
                              </w:rPr>
                            </w:pPr>
                            <w:r w:rsidRPr="00F80685">
                              <w:rPr>
                                <w:rFonts w:asciiTheme="minorHAnsi" w:hAnsiTheme="minorHAnsi" w:cstheme="minorHAnsi"/>
                                <w:b/>
                                <w:bCs/>
                                <w:lang w:val="nl-NL"/>
                              </w:rPr>
                              <w:t>Interpretatie:</w:t>
                            </w:r>
                          </w:p>
                          <w:p w:rsidR="00F80685" w:rsidRPr="00F80685" w:rsidRDefault="00F80685" w:rsidP="00F80685">
                            <w:pPr>
                              <w:pStyle w:val="Geenafstand"/>
                            </w:pPr>
                          </w:p>
                          <w:p w:rsidR="00375FCE" w:rsidRPr="00F80685" w:rsidRDefault="004A7B3D" w:rsidP="00375FCE">
                            <w:pPr>
                              <w:pStyle w:val="RedBullets"/>
                              <w:numPr>
                                <w:ilvl w:val="0"/>
                                <w:numId w:val="0"/>
                              </w:numPr>
                              <w:rPr>
                                <w:rFonts w:asciiTheme="minorHAnsi" w:hAnsiTheme="minorHAnsi" w:cstheme="minorHAnsi"/>
                                <w:i/>
                                <w:sz w:val="22"/>
                                <w:szCs w:val="22"/>
                              </w:rPr>
                            </w:pPr>
                            <w:r w:rsidRPr="00F80685">
                              <w:rPr>
                                <w:rFonts w:asciiTheme="minorHAnsi" w:hAnsiTheme="minorHAnsi" w:cstheme="minorHAnsi"/>
                                <w:i/>
                                <w:iCs/>
                                <w:sz w:val="22"/>
                                <w:szCs w:val="22"/>
                                <w:lang w:val="nl-NL"/>
                              </w:rPr>
                              <w:t>Organisatorische onafhankelijkheid kan op adequate wijze worden bereikt indien het hoofd van de internal auditfunctie functioneel rapporteert aan het bestuur. Voorbeelden van functionele rapportage aan het bestuur zijn onder meer dat het bestuur:</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internal auditcharter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op risico's gebaseerde internal auditplan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budget en middelenplan voor de internal auditing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Mededelingen ontvangt van het hoofd van de internal auditfunctie over de uitvoering van de internal auditing in het licht van het plan en overige aangelegenheden.</w:t>
                            </w:r>
                            <w:r w:rsidRPr="00F80685">
                              <w:rPr>
                                <w:rFonts w:asciiTheme="minorHAnsi" w:hAnsiTheme="minorHAnsi" w:cstheme="minorHAnsi"/>
                                <w:sz w:val="22"/>
                                <w:szCs w:val="22"/>
                                <w:lang w:val="nl-NL"/>
                              </w:rPr>
                              <w:t xml:space="preserve"> </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Beslissingen met betrekking tot de benoeming en het ontslag van het hoofd van de internal auditfunctie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De beloning van het hoofd van de internal auditfunctie goedkeurt.</w:t>
                            </w:r>
                          </w:p>
                          <w:p w:rsidR="004B2AC5" w:rsidRPr="00F80685" w:rsidRDefault="004A7B3D" w:rsidP="00F80685">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De juiste informatie opvraagt bij het management en het hoofd van de internal auditfunctie om te bepalen of er ongewenste beperkingen bestaan ten aanzien van de reikwijdte en de middelen.</w:t>
                            </w:r>
                          </w:p>
                          <w:p w:rsidR="004B2AC5" w:rsidRPr="00F80685" w:rsidRDefault="004A7B3D" w:rsidP="004B2AC5">
                            <w:pPr>
                              <w:pStyle w:val="RedBullets"/>
                              <w:numPr>
                                <w:ilvl w:val="0"/>
                                <w:numId w:val="0"/>
                              </w:numPr>
                              <w:ind w:left="634"/>
                              <w:jc w:val="right"/>
                              <w:rPr>
                                <w:rFonts w:asciiTheme="minorHAnsi" w:hAnsiTheme="minorHAnsi" w:cstheme="minorHAnsi"/>
                                <w:sz w:val="22"/>
                                <w:szCs w:val="22"/>
                              </w:rPr>
                            </w:pPr>
                            <w:r w:rsidRPr="00F80685">
                              <w:rPr>
                                <w:rFonts w:asciiTheme="minorHAnsi" w:hAnsiTheme="minorHAnsi" w:cstheme="minorHAnsi"/>
                                <w:sz w:val="22"/>
                                <w:szCs w:val="22"/>
                                <w:lang w:val="nl-NL"/>
                              </w:rPr>
                              <w:t xml:space="preserve">Herziene </w:t>
                            </w:r>
                            <w:r w:rsidRPr="00FF7487">
                              <w:rPr>
                                <w:rFonts w:asciiTheme="minorHAnsi" w:hAnsiTheme="minorHAnsi" w:cstheme="minorHAnsi"/>
                                <w:i/>
                                <w:sz w:val="22"/>
                                <w:szCs w:val="22"/>
                                <w:lang w:val="nl-NL"/>
                              </w:rPr>
                              <w:t>Standaarden</w:t>
                            </w:r>
                            <w:r w:rsidRPr="00F80685">
                              <w:rPr>
                                <w:rFonts w:asciiTheme="minorHAnsi" w:hAnsiTheme="minorHAnsi" w:cstheme="minorHAnsi"/>
                                <w:sz w:val="22"/>
                                <w:szCs w:val="22"/>
                                <w:lang w:val="nl-NL"/>
                              </w:rPr>
                              <w:t xml:space="preserve"> die per 1 januari 2017 van kracht zijn</w:t>
                            </w:r>
                            <w:bookmarkStart w:id="0" w:name="_GoBack"/>
                            <w:bookmarkEnd w:id="0"/>
                            <w:r w:rsidRPr="00F80685">
                              <w:rPr>
                                <w:rFonts w:asciiTheme="minorHAnsi" w:hAnsiTheme="minorHAnsi" w:cstheme="minorHAnsi"/>
                                <w:sz w:val="22"/>
                                <w:szCs w:val="22"/>
                                <w:lang w:val="nl-NL"/>
                              </w:rPr>
                              <w:t xml:space="preserve"> </w:t>
                            </w:r>
                          </w:p>
                          <w:p w:rsidR="004B2AC5" w:rsidRPr="00F80685" w:rsidRDefault="00FF7487" w:rsidP="004B2AC5">
                            <w:pPr>
                              <w:pStyle w:val="RedBullets"/>
                              <w:numPr>
                                <w:ilvl w:val="0"/>
                                <w:numId w:val="0"/>
                              </w:numPr>
                              <w:ind w:left="994"/>
                              <w:rPr>
                                <w:rFonts w:asciiTheme="minorHAnsi" w:hAnsiTheme="minorHAnsi" w:cstheme="minorHAnsi"/>
                                <w: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17pt;width:7in;height:7in;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" fillcolor="#d8d8d8 [2732]" stroked="f">
                <v:textbox inset="14.4pt,23.76pt,14.4pt,23.76pt">
                  <w:txbxContent>
                    <w:p w:rsidR="00B61C77" w:rsidRPr="00F80685" w:rsidRDefault="004A7B3D" w:rsidP="00B61C77">
                      <w:pPr>
                        <w:pStyle w:val="TemplateHeadline"/>
                        <w:rPr>
                          <w:rFonts w:asciiTheme="minorHAnsi" w:hAnsiTheme="minorHAnsi" w:cstheme="minorHAnsi"/>
                        </w:rPr>
                      </w:pPr>
                      <w:r w:rsidRPr="00F80685">
                        <w:rPr>
                          <w:rFonts w:asciiTheme="minorHAnsi" w:hAnsiTheme="minorHAnsi" w:cstheme="minorHAnsi"/>
                          <w:lang w:val="nl-NL"/>
                        </w:rPr>
                        <w:t>Standaard 1110 - Organisatorische onafhankelijkheid</w:t>
                      </w:r>
                    </w:p>
                    <w:p w:rsidR="00375FCE" w:rsidRPr="00F80685" w:rsidRDefault="004A7B3D" w:rsidP="00375FCE">
                      <w:pPr>
                        <w:pStyle w:val="RedBullets"/>
                        <w:numPr>
                          <w:ilvl w:val="0"/>
                          <w:numId w:val="0"/>
                        </w:numPr>
                        <w:rPr>
                          <w:rFonts w:asciiTheme="minorHAnsi" w:hAnsiTheme="minorHAnsi" w:cstheme="minorHAnsi"/>
                          <w:sz w:val="22"/>
                          <w:szCs w:val="22"/>
                        </w:rPr>
                      </w:pPr>
                      <w:r w:rsidRPr="00F80685">
                        <w:rPr>
                          <w:rFonts w:asciiTheme="minorHAnsi" w:hAnsiTheme="minorHAnsi" w:cstheme="minorHAnsi"/>
                          <w:sz w:val="22"/>
                          <w:szCs w:val="22"/>
                          <w:lang w:val="nl-NL"/>
                        </w:rPr>
                        <w:t>Het hoofd van de internal auditfunctie moet rapporteren aan een niveau binnen de organisatie dat het mogelijk maakt dat de internal auditfunctie haar verantwoordelijkheden kan dragen. Het hoofd van de internal auditfunctie moet in ieder geval eenmaal per jaar de onafhankelijkheid van de internal auditfunctie binnen de organisatie bevestigen aan het bestuur.</w:t>
                      </w:r>
                    </w:p>
                    <w:p w:rsidR="00375FCE" w:rsidRPr="00F80685" w:rsidRDefault="00FF7487" w:rsidP="00F80685">
                      <w:pPr>
                        <w:pStyle w:val="Geenafstand"/>
                      </w:pPr>
                    </w:p>
                    <w:p w:rsidR="00375FCE" w:rsidRDefault="004A7B3D" w:rsidP="00375FCE">
                      <w:pPr>
                        <w:pStyle w:val="RedBullets"/>
                        <w:numPr>
                          <w:ilvl w:val="0"/>
                          <w:numId w:val="0"/>
                        </w:numPr>
                        <w:rPr>
                          <w:rFonts w:asciiTheme="minorHAnsi" w:hAnsiTheme="minorHAnsi" w:cstheme="minorHAnsi"/>
                          <w:b/>
                          <w:bCs/>
                          <w:lang w:val="nl-NL"/>
                        </w:rPr>
                      </w:pPr>
                      <w:r w:rsidRPr="00F80685">
                        <w:rPr>
                          <w:rFonts w:asciiTheme="minorHAnsi" w:hAnsiTheme="minorHAnsi" w:cstheme="minorHAnsi"/>
                          <w:b/>
                          <w:bCs/>
                          <w:lang w:val="nl-NL"/>
                        </w:rPr>
                        <w:t>Interpretatie:</w:t>
                      </w:r>
                    </w:p>
                    <w:p w:rsidR="00F80685" w:rsidRPr="00F80685" w:rsidRDefault="00F80685" w:rsidP="00F80685">
                      <w:pPr>
                        <w:pStyle w:val="Geenafstand"/>
                      </w:pPr>
                    </w:p>
                    <w:p w:rsidR="00375FCE" w:rsidRPr="00F80685" w:rsidRDefault="004A7B3D" w:rsidP="00375FCE">
                      <w:pPr>
                        <w:pStyle w:val="RedBullets"/>
                        <w:numPr>
                          <w:ilvl w:val="0"/>
                          <w:numId w:val="0"/>
                        </w:numPr>
                        <w:rPr>
                          <w:rFonts w:asciiTheme="minorHAnsi" w:hAnsiTheme="minorHAnsi" w:cstheme="minorHAnsi"/>
                          <w:i/>
                          <w:sz w:val="22"/>
                          <w:szCs w:val="22"/>
                        </w:rPr>
                      </w:pPr>
                      <w:r w:rsidRPr="00F80685">
                        <w:rPr>
                          <w:rFonts w:asciiTheme="minorHAnsi" w:hAnsiTheme="minorHAnsi" w:cstheme="minorHAnsi"/>
                          <w:i/>
                          <w:iCs/>
                          <w:sz w:val="22"/>
                          <w:szCs w:val="22"/>
                          <w:lang w:val="nl-NL"/>
                        </w:rPr>
                        <w:t>Organisatorische onafhankelijkheid kan op adequate wijze worden bereikt indien het hoofd van de internal auditfunctie functioneel rapporteert aan het bestuur. Voorbeelden van functionele rapportage aan het bestuur zijn onder meer dat het bestuur:</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internal auditcharter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op risico's gebaseerde internal auditplan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Het budget en middelenplan voor de internal auditing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Mededelingen ontvangt van het hoofd van de internal auditfunctie over de uitvoering van de internal auditing in het licht van het plan en overige aangelegenheden.</w:t>
                      </w:r>
                      <w:r w:rsidRPr="00F80685">
                        <w:rPr>
                          <w:rFonts w:asciiTheme="minorHAnsi" w:hAnsiTheme="minorHAnsi" w:cstheme="minorHAnsi"/>
                          <w:sz w:val="22"/>
                          <w:szCs w:val="22"/>
                          <w:lang w:val="nl-NL"/>
                        </w:rPr>
                        <w:t xml:space="preserve"> </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Beslissingen met betrekking tot de benoeming en het ontslag van het hoofd van de internal auditfunctie goedkeurt.</w:t>
                      </w:r>
                    </w:p>
                    <w:p w:rsidR="00375FCE" w:rsidRPr="00F80685" w:rsidRDefault="004A7B3D" w:rsidP="00375FCE">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De beloning van het hoofd van de internal auditfunctie goedkeurt.</w:t>
                      </w:r>
                    </w:p>
                    <w:p w:rsidR="004B2AC5" w:rsidRPr="00F80685" w:rsidRDefault="004A7B3D" w:rsidP="00F80685">
                      <w:pPr>
                        <w:pStyle w:val="RedBullets"/>
                        <w:rPr>
                          <w:rFonts w:asciiTheme="minorHAnsi" w:hAnsiTheme="minorHAnsi" w:cstheme="minorHAnsi"/>
                          <w:i/>
                          <w:sz w:val="22"/>
                          <w:szCs w:val="22"/>
                        </w:rPr>
                      </w:pPr>
                      <w:r w:rsidRPr="00F80685">
                        <w:rPr>
                          <w:rFonts w:asciiTheme="minorHAnsi" w:hAnsiTheme="minorHAnsi" w:cstheme="minorHAnsi"/>
                          <w:i/>
                          <w:iCs/>
                          <w:sz w:val="22"/>
                          <w:szCs w:val="22"/>
                          <w:lang w:val="nl-NL"/>
                        </w:rPr>
                        <w:t>De juiste informatie opvraagt bij het management en het hoofd van de internal auditfunctie om te bepalen of er ongewenste beperkingen bestaan ten aanzien van de reikwijdte en de middelen.</w:t>
                      </w:r>
                    </w:p>
                    <w:p w:rsidR="004B2AC5" w:rsidRPr="00F80685" w:rsidRDefault="004A7B3D" w:rsidP="004B2AC5">
                      <w:pPr>
                        <w:pStyle w:val="RedBullets"/>
                        <w:numPr>
                          <w:ilvl w:val="0"/>
                          <w:numId w:val="0"/>
                        </w:numPr>
                        <w:ind w:left="634"/>
                        <w:jc w:val="right"/>
                        <w:rPr>
                          <w:rFonts w:asciiTheme="minorHAnsi" w:hAnsiTheme="minorHAnsi" w:cstheme="minorHAnsi"/>
                          <w:sz w:val="22"/>
                          <w:szCs w:val="22"/>
                        </w:rPr>
                      </w:pPr>
                      <w:r w:rsidRPr="00F80685">
                        <w:rPr>
                          <w:rFonts w:asciiTheme="minorHAnsi" w:hAnsiTheme="minorHAnsi" w:cstheme="minorHAnsi"/>
                          <w:sz w:val="22"/>
                          <w:szCs w:val="22"/>
                          <w:lang w:val="nl-NL"/>
                        </w:rPr>
                        <w:t xml:space="preserve">Herziene </w:t>
                      </w:r>
                      <w:r w:rsidRPr="00FF7487">
                        <w:rPr>
                          <w:rFonts w:asciiTheme="minorHAnsi" w:hAnsiTheme="minorHAnsi" w:cstheme="minorHAnsi"/>
                          <w:i/>
                          <w:sz w:val="22"/>
                          <w:szCs w:val="22"/>
                          <w:lang w:val="nl-NL"/>
                        </w:rPr>
                        <w:t>Standaarden</w:t>
                      </w:r>
                      <w:r w:rsidRPr="00F80685">
                        <w:rPr>
                          <w:rFonts w:asciiTheme="minorHAnsi" w:hAnsiTheme="minorHAnsi" w:cstheme="minorHAnsi"/>
                          <w:sz w:val="22"/>
                          <w:szCs w:val="22"/>
                          <w:lang w:val="nl-NL"/>
                        </w:rPr>
                        <w:t xml:space="preserve"> die per 1 januari 2017 van kracht zijn</w:t>
                      </w:r>
                      <w:bookmarkStart w:id="1" w:name="_GoBack"/>
                      <w:bookmarkEnd w:id="1"/>
                      <w:r w:rsidRPr="00F80685">
                        <w:rPr>
                          <w:rFonts w:asciiTheme="minorHAnsi" w:hAnsiTheme="minorHAnsi" w:cstheme="minorHAnsi"/>
                          <w:sz w:val="22"/>
                          <w:szCs w:val="22"/>
                          <w:lang w:val="nl-NL"/>
                        </w:rPr>
                        <w:t xml:space="preserve"> </w:t>
                      </w:r>
                    </w:p>
                    <w:p w:rsidR="004B2AC5" w:rsidRPr="00F80685" w:rsidRDefault="00FF7487" w:rsidP="004B2AC5">
                      <w:pPr>
                        <w:pStyle w:val="RedBullets"/>
                        <w:numPr>
                          <w:ilvl w:val="0"/>
                          <w:numId w:val="0"/>
                        </w:numPr>
                        <w:ind w:left="994"/>
                        <w:rPr>
                          <w:rFonts w:asciiTheme="minorHAnsi" w:hAnsiTheme="minorHAnsi" w:cstheme="minorHAnsi"/>
                          <w:i/>
                          <w:sz w:val="22"/>
                          <w:szCs w:val="22"/>
                        </w:rPr>
                      </w:pPr>
                    </w:p>
                  </w:txbxContent>
                </v:textbox>
                <w10:wrap type="square" anchorx="margin" anchory="margin"/>
              </v:shape>
            </w:pict>
          </mc:Fallback>
        </mc:AlternateContent>
      </w:r>
      <w:r w:rsidRPr="00F80685">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4A7B3D"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1110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4A7B3D"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1110</w:t>
                      </w:r>
                    </w:p>
                  </w:txbxContent>
                </v:textbox>
                <w10:wrap type="square" anchorx="page" anchory="page"/>
              </v:shape>
            </w:pict>
          </mc:Fallback>
        </mc:AlternateContent>
      </w:r>
    </w:p>
    <w:p w:rsidR="00AF61BE" w:rsidRPr="00F80685" w:rsidRDefault="004A7B3D" w:rsidP="00AF61BE">
      <w:pPr>
        <w:pStyle w:val="TemplateHeadline"/>
        <w:rPr>
          <w:rFonts w:asciiTheme="minorHAnsi" w:hAnsiTheme="minorHAnsi" w:cstheme="minorHAnsi"/>
        </w:rPr>
      </w:pPr>
      <w:r w:rsidRPr="00F80685">
        <w:rPr>
          <w:rFonts w:asciiTheme="minorHAnsi" w:hAnsiTheme="minorHAnsi" w:cstheme="minorHAnsi"/>
          <w:lang w:val="nl-NL"/>
        </w:rPr>
        <w:lastRenderedPageBreak/>
        <w:t xml:space="preserve">Inleiding </w:t>
      </w:r>
    </w:p>
    <w:p w:rsidR="00375FCE" w:rsidRPr="00F80685" w:rsidRDefault="004A7B3D" w:rsidP="00375FCE">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Standaard 1110 schrijft voor dat het hoofd van de internal auditfunctie (Chief Audit Executive (CAE)) moet rapporteren aan een niveau binnen de organisatie dat het mogelijk maakt dat de internal auditfunctie haar verantwoordelijkheid kan dragen. Daarvoor is het nodig de positie van de internal auditfunctie binnen de organisatie, het toezicht op deze functie en de rapportagelijnen van de functie in aanmerking te nemen om de onafhankelijkheid van de functie binnen de organisatie te waarborgen. </w:t>
      </w:r>
    </w:p>
    <w:p w:rsidR="00375FCE" w:rsidRPr="00F80685" w:rsidRDefault="004A7B3D" w:rsidP="00375FCE">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De CAE kan de positie van de internal auditfunctie binnen de organisatie, de rapportagerelaties van de CAE of de aard van het toezicht door het bestuur of senior management echter niet autonoom bepalen; de CAE heeft de hulp van het bestuur en senior management nodig om deze zaken effectief aan te pakken. Gewoonlijk komen de CAE, het bestuur en het senior management tot een gezamenlijke visie op de verantwoordelijkheden, bevoegdheden en verwachtingen van de internal auditfunctie, en de rol van het bestuur en senior management in het toezicht op de internal auditfunctie. In het algemeen worden de gemaakte afspraken over de positie binnen de organisatie en de rapportagelijnen gedocumenteerd in het internal auditcharter.</w:t>
      </w:r>
    </w:p>
    <w:p w:rsidR="00A04BF7" w:rsidRPr="00F80685" w:rsidRDefault="004A7B3D" w:rsidP="00375FCE">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Het kan ook nuttig zijn dat de CAE bekend is met de regelgeving ten aanzien van de positie van de internal auditfunctie binnen de organisatie en de rapportagelijnen van de CAE.</w:t>
      </w:r>
      <w:r w:rsidRPr="00F80685">
        <w:rPr>
          <w:rFonts w:asciiTheme="minorHAnsi" w:hAnsiTheme="minorHAnsi" w:cstheme="minorHAnsi"/>
          <w:sz w:val="22"/>
          <w:szCs w:val="22"/>
          <w:lang w:val="nl-NL"/>
        </w:rPr>
        <w:br/>
      </w:r>
    </w:p>
    <w:p w:rsidR="00A04BF7" w:rsidRPr="00F80685" w:rsidRDefault="004A7B3D" w:rsidP="00A04BF7">
      <w:pPr>
        <w:pStyle w:val="TemplateHeadline"/>
        <w:rPr>
          <w:rFonts w:asciiTheme="minorHAnsi" w:hAnsiTheme="minorHAnsi" w:cstheme="minorHAnsi"/>
        </w:rPr>
      </w:pPr>
      <w:r w:rsidRPr="00F80685">
        <w:rPr>
          <w:rFonts w:asciiTheme="minorHAnsi" w:hAnsiTheme="minorHAnsi" w:cstheme="minorHAnsi"/>
          <w:lang w:val="nl-NL"/>
        </w:rPr>
        <w:t>Overwegingen bij de implementatie</w:t>
      </w:r>
    </w:p>
    <w:p w:rsidR="00A04BF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Zoals gezegd werkt de CAE samen met het bestuur en het senior management om de positie van de internal auditfunctie binnen de organisatie te bepalen, inclusief de rapportagelijnen van de CAE. Om de organisatorische onafhankelijkheid van de internal auditfunctie effectief te waarborgen, heeft de CAE een rechtstreekse functionele rapportagelijn naar het bestuur. In het algemeen heeft de CAE daarnaast een hiërarchische rapportagelijn (ook wel 'stippellijn' genoemd) naar een lid van het senior management. </w:t>
      </w:r>
    </w:p>
    <w:p w:rsidR="00A04BF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De functionele rapportagelijn naar het bestuur geeft de CAE rechtstreekse toegang tot het bestuur voor gevoelige zaken en zorgt ervoor dat de CAE voldoende status heeft binnen de organisatie. Dit zorgt er tevens voor dat de CAE onbeperkt toegang heeft tot het bestuur, dat doorgaans het hoogste </w:t>
      </w:r>
      <w:r w:rsidRPr="00F80685">
        <w:rPr>
          <w:rFonts w:asciiTheme="minorHAnsi" w:hAnsiTheme="minorHAnsi" w:cstheme="minorHAnsi"/>
          <w:sz w:val="22"/>
          <w:szCs w:val="22"/>
          <w:lang w:val="nl-NL"/>
        </w:rPr>
        <w:lastRenderedPageBreak/>
        <w:t xml:space="preserve">governanceniveau in de organisatie is. </w:t>
      </w:r>
    </w:p>
    <w:p w:rsidR="0029547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Functioneel toezicht vereist dat het bestuur de juiste werkomstandigheden creëert die de internal auditfunctie in staat stellen om onafhankelijk en effectief te opereren. Zoals gezegd heeft het bestuur de verantwoordelijkheid voor de goedkeuring van het internal auditcharter, internal auditplan, budget en middelenplan, alsmede de beoordeling en beloning van de CAE en de aanstelling en het ontslag van de CAE. Daarnaast houdt het bestuur toezicht op het vermogen van de internal auditfunctie om onafhankelijk te opereren. Hiertoe stelt het bestuur vragen aan de CAE en leden van het management over beperkingen in de reikwijdte of in de beschikbare middelen, of andere zaken die de internal auditfunctie onder druk zetten of belemmeren. </w:t>
      </w:r>
    </w:p>
    <w:p w:rsidR="00A04BF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Als het bestuur deze belangrijke verantwoordelijkheden op het vlak van functioneel toezicht niet op zich neemt, kan de CAE het bestuur wijzen op Standaard 1110 en de aanbevolen governancepraktijken— waaronder de verantwoordelijkheden van het bestuur — om zo op de langere termijn een betere functionele relatie te bevorderen. </w:t>
      </w:r>
    </w:p>
    <w:p w:rsidR="00A04BF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 xml:space="preserve">Om toezicht door het bestuur te faciliteren, informeert de CAE het bestuur periodiek over het functioneren van de internal auditfunctie, meestal in kwartaalvergaderingen van het bestuur. De CAE is vaak betrokken bij het opstellen van de vergaderagenda's van het bestuur en kan zo voldoende tijd inplannen om het functioneren van de internal auditfunctie ten opzichte van haar planning te bepreken, alsmede andere zaken, zoals belangrijke bevindingen of opkomende risico's die de aandacht van het bestuur vereisen. Om te waarborgen dat de organisatorische onafhankelijkheid conform Standaard 1110 minsten eenmaal per jaar wordt besproken, maakt de CAE dit vaak tot een jaarlijks vast agendapunt van een specifieke bestuursvergadering. </w:t>
      </w:r>
    </w:p>
    <w:p w:rsidR="00AF61BE"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In het algemeen heeft de CAE daarnaast een hiërarchische rapportagelijn naar het senior management; ook dit draagt ertoe bij dat de internal auditfunctie de status en het gezag heeft die vereist zijn om haar verantwoordelijkheden te vervullen. Zo rapporteert de CAE gewoonlijk niet aan een controller, een accounting manager of een medior manager met functionele verantwoordelijkheid. Om de status en geloofwaardigheid van de CAE te verhogen, raadt het IIA aan dat de CAE hiërarchisch rapporteert aan de Chief Executive Officer (CEO), zodat het duidelijk is dat de CAE een senior rol vervult en het gezag heeft om taken onbelemmerd te vervullen.</w:t>
      </w:r>
    </w:p>
    <w:p w:rsidR="00A04BF7" w:rsidRPr="00F80685" w:rsidRDefault="004A7B3D" w:rsidP="00A04BF7">
      <w:pPr>
        <w:pStyle w:val="TemplateHeadline"/>
        <w:rPr>
          <w:rFonts w:asciiTheme="minorHAnsi" w:hAnsiTheme="minorHAnsi" w:cstheme="minorHAnsi"/>
        </w:rPr>
      </w:pPr>
      <w:r w:rsidRPr="00F80685">
        <w:rPr>
          <w:rFonts w:asciiTheme="minorHAnsi" w:hAnsiTheme="minorHAnsi" w:cstheme="minorHAnsi"/>
          <w:lang w:val="nl-NL"/>
        </w:rPr>
        <w:lastRenderedPageBreak/>
        <w:t>Overwegingen bij het aantonen van de naleving</w:t>
      </w:r>
    </w:p>
    <w:p w:rsidR="00A04BF7" w:rsidRPr="00F80685" w:rsidRDefault="004A7B3D" w:rsidP="00A04BF7">
      <w:pPr>
        <w:pStyle w:val="TemplateBodyText"/>
        <w:rPr>
          <w:rFonts w:asciiTheme="minorHAnsi" w:hAnsiTheme="minorHAnsi" w:cstheme="minorHAnsi"/>
          <w:sz w:val="22"/>
          <w:szCs w:val="22"/>
        </w:rPr>
      </w:pPr>
      <w:r w:rsidRPr="00F80685">
        <w:rPr>
          <w:rFonts w:asciiTheme="minorHAnsi" w:hAnsiTheme="minorHAnsi" w:cstheme="minorHAnsi"/>
          <w:sz w:val="22"/>
          <w:szCs w:val="22"/>
          <w:lang w:val="nl-NL"/>
        </w:rPr>
        <w:t>De naleving van Standaard 1110 kan worden aangetoond door diverse documenten, waaronder het internal auditcharter en het charter van de auditcommissie, dat de toezichthoudende taken van de auditcommissie beschrijft. In de functieomschrijving van de CAE worden doorgaans de rapportagerelaties en het toezicht door het bestuur of de auditcommissie vermeld. De documentatie van de aanstelling van de CAE, indien beschikbaar, vermeldt mogelijk door wie het sollicitatiegesprek met de CAE is gevoerd en wie het aanstellingsbesluit heeft genomen. Daarnaast kan de naleving blijken uit een beleidshandboek van de internal auditfunctie met voorschriften over zaken als onafhankelijkheid en communicatie met het bestuur, of uit een organogram met rapportageverantwoordelijkheden. Uit bestuursverslagen en notulen en agenda's van bestuursvergaderingen kan blijken dat de internal auditfunctie passend heeft gecommuniceerd over zaken als het internal auditplan en het budget en functioneren van de functie, alsmede de actuele mate van organisatorische onafhankelijkheid.</w:t>
      </w:r>
    </w:p>
    <w:p w:rsidR="006050F3" w:rsidRPr="00F80685" w:rsidRDefault="004A7B3D" w:rsidP="00B61C77">
      <w:pPr>
        <w:pStyle w:val="TemplateHeadline"/>
        <w:rPr>
          <w:rFonts w:asciiTheme="minorHAnsi" w:hAnsiTheme="minorHAnsi" w:cstheme="minorHAnsi"/>
        </w:rPr>
      </w:pPr>
      <w:r w:rsidRPr="00F80685">
        <w:rPr>
          <w:rFonts w:asciiTheme="minorHAnsi" w:hAnsiTheme="minorHAnsi" w:cstheme="minorHAnsi"/>
          <w:noProof/>
          <w:lang w:val="nl-NL" w:eastAsia="nl-NL"/>
        </w:rPr>
        <w:lastRenderedPageBreak/>
        <mc:AlternateContent>
          <mc:Choice Requires="wps">
            <w:drawing>
              <wp:anchor distT="457200" distB="274320" distL="114300" distR="114300" simplePos="0" relativeHeight="251662336" behindDoc="0" locked="0" layoutInCell="1" allowOverlap="1">
                <wp:simplePos x="0" y="0"/>
                <wp:positionH relativeFrom="margin">
                  <wp:posOffset>0</wp:posOffset>
                </wp:positionH>
                <wp:positionV relativeFrom="paragraph">
                  <wp:posOffset>2695575</wp:posOffset>
                </wp:positionV>
                <wp:extent cx="6400800" cy="51530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530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4A7B3D" w:rsidRPr="00E6381B" w:rsidRDefault="004A7B3D" w:rsidP="004A7B3D">
                            <w:pPr>
                              <w:pStyle w:val="BoilerplateHeadline"/>
                            </w:pPr>
                            <w:r w:rsidRPr="00E6381B">
                              <w:rPr>
                                <w:lang w:val="nl-NL"/>
                              </w:rPr>
                              <w:t xml:space="preserve">Over het IIA </w:t>
                            </w:r>
                          </w:p>
                          <w:p w:rsidR="004A7B3D" w:rsidRPr="001A0D5D" w:rsidRDefault="004A7B3D" w:rsidP="004A7B3D">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4A7B3D" w:rsidRPr="00E6381B" w:rsidRDefault="004A7B3D" w:rsidP="004A7B3D">
                            <w:pPr>
                              <w:pStyle w:val="BoilerplateHeadline"/>
                            </w:pPr>
                            <w:r w:rsidRPr="00E6381B">
                              <w:rPr>
                                <w:lang w:val="nl-NL"/>
                              </w:rPr>
                              <w:t>Over de Implementatierichtlijnen</w:t>
                            </w:r>
                          </w:p>
                          <w:p w:rsidR="004A7B3D" w:rsidRDefault="004A7B3D" w:rsidP="004A7B3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4A7B3D" w:rsidRDefault="004A7B3D" w:rsidP="004A7B3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4A7B3D" w:rsidRDefault="004A7B3D" w:rsidP="004A7B3D">
                            <w:pPr>
                              <w:pStyle w:val="BoilerplateBodyText"/>
                              <w:ind w:right="60"/>
                            </w:pPr>
                            <w:r>
                              <w:rPr>
                                <w:lang w:val="nl-NL"/>
                              </w:rPr>
                              <w:t xml:space="preserve">Andere gezaghebbende richtlijnen van het IIA kunt u vinden op onze websites: www.globaliia.org/standards-guidance en www.theiia.org/guidance. </w:t>
                            </w:r>
                          </w:p>
                          <w:p w:rsidR="004A7B3D" w:rsidRDefault="004A7B3D" w:rsidP="004A7B3D">
                            <w:pPr>
                              <w:pStyle w:val="BoilerplateHeadline"/>
                            </w:pPr>
                            <w:r>
                              <w:rPr>
                                <w:lang w:val="nl-NL"/>
                              </w:rPr>
                              <w:t>Disclaimer</w:t>
                            </w:r>
                          </w:p>
                          <w:p w:rsidR="004A7B3D" w:rsidRDefault="004A7B3D" w:rsidP="004A7B3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4A7B3D" w:rsidRDefault="004A7B3D" w:rsidP="004A7B3D">
                            <w:pPr>
                              <w:pStyle w:val="BoilerplateHeadline"/>
                              <w:spacing w:after="60"/>
                            </w:pPr>
                            <w:r>
                              <w:rPr>
                                <w:lang w:val="nl-NL"/>
                              </w:rPr>
                              <w:t>Auteursrecht</w:t>
                            </w:r>
                          </w:p>
                          <w:p w:rsidR="004A7B3D" w:rsidRDefault="004A7B3D" w:rsidP="004A7B3D">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5F6540">
                              <w:rPr>
                                <w:i/>
                                <w:iCs/>
                                <w:lang w:val="nl-NL"/>
                              </w:rPr>
                              <w:t xml:space="preserve"> </w:t>
                            </w:r>
                            <w:r>
                              <w:rPr>
                                <w:lang w:val="nl-NL"/>
                              </w:rPr>
                              <w:t xml:space="preserve">Toestemming voor reproductie van deze publicatie kunt u per e-mail aanvragen via guidance@theiia.org. </w:t>
                            </w:r>
                          </w:p>
                          <w:p w:rsidR="00AF61BE" w:rsidRPr="00E6381B" w:rsidRDefault="00FF7487" w:rsidP="00AF61BE"/>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212.25pt;width:7in;height:405.75pt;z-index:251662336;visibility:visible;mso-wrap-style:square;mso-height-percent:0;mso-wrap-distance-left:9pt;mso-wrap-distance-top:3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" fillcolor="#d8d8d8 [2732]" stroked="f">
                <v:textbox inset="14.4pt,23.76pt,14.4pt,23.76pt">
                  <w:txbxContent>
                    <w:p w:rsidR="004A7B3D" w:rsidRPr="00E6381B" w:rsidRDefault="004A7B3D" w:rsidP="004A7B3D">
                      <w:pPr>
                        <w:pStyle w:val="BoilerplateHeadline"/>
                      </w:pPr>
                      <w:r w:rsidRPr="00E6381B">
                        <w:rPr>
                          <w:lang w:val="nl-NL"/>
                        </w:rPr>
                        <w:t xml:space="preserve">Over het IIA </w:t>
                      </w:r>
                    </w:p>
                    <w:p w:rsidR="004A7B3D" w:rsidRPr="001A0D5D" w:rsidRDefault="004A7B3D" w:rsidP="004A7B3D">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4A7B3D" w:rsidRPr="00E6381B" w:rsidRDefault="004A7B3D" w:rsidP="004A7B3D">
                      <w:pPr>
                        <w:pStyle w:val="BoilerplateHeadline"/>
                      </w:pPr>
                      <w:r w:rsidRPr="00E6381B">
                        <w:rPr>
                          <w:lang w:val="nl-NL"/>
                        </w:rPr>
                        <w:t>Over de Implementatierichtlijnen</w:t>
                      </w:r>
                    </w:p>
                    <w:p w:rsidR="004A7B3D" w:rsidRDefault="004A7B3D" w:rsidP="004A7B3D">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4A7B3D" w:rsidRDefault="004A7B3D" w:rsidP="004A7B3D">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4A7B3D" w:rsidRDefault="004A7B3D" w:rsidP="004A7B3D">
                      <w:pPr>
                        <w:pStyle w:val="BoilerplateBodyText"/>
                        <w:ind w:right="60"/>
                      </w:pPr>
                      <w:r>
                        <w:rPr>
                          <w:lang w:val="nl-NL"/>
                        </w:rPr>
                        <w:t xml:space="preserve">Andere gezaghebbende richtlijnen van het IIA kunt u vinden op onze websites: www.globaliia.org/standards-guidance en www.theiia.org/guidance. </w:t>
                      </w:r>
                    </w:p>
                    <w:p w:rsidR="004A7B3D" w:rsidRDefault="004A7B3D" w:rsidP="004A7B3D">
                      <w:pPr>
                        <w:pStyle w:val="BoilerplateHeadline"/>
                      </w:pPr>
                      <w:r>
                        <w:rPr>
                          <w:lang w:val="nl-NL"/>
                        </w:rPr>
                        <w:t>Disclaimer</w:t>
                      </w:r>
                    </w:p>
                    <w:p w:rsidR="004A7B3D" w:rsidRDefault="004A7B3D" w:rsidP="004A7B3D">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4A7B3D" w:rsidRDefault="004A7B3D" w:rsidP="004A7B3D">
                      <w:pPr>
                        <w:pStyle w:val="BoilerplateHeadline"/>
                        <w:spacing w:after="60"/>
                      </w:pPr>
                      <w:r>
                        <w:rPr>
                          <w:lang w:val="nl-NL"/>
                        </w:rPr>
                        <w:t>Auteursrecht</w:t>
                      </w:r>
                    </w:p>
                    <w:p w:rsidR="004A7B3D" w:rsidRDefault="004A7B3D" w:rsidP="004A7B3D">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5F6540">
                        <w:rPr>
                          <w:i/>
                          <w:iCs/>
                          <w:lang w:val="nl-NL"/>
                        </w:rPr>
                        <w:t xml:space="preserve"> </w:t>
                      </w:r>
                      <w:r>
                        <w:rPr>
                          <w:lang w:val="nl-NL"/>
                        </w:rPr>
                        <w:t xml:space="preserve">Toestemming voor reproductie van deze publicatie kunt u per e-mail aanvragen via guidance@theiia.org. </w:t>
                      </w:r>
                    </w:p>
                    <w:p w:rsidR="00AF61BE" w:rsidRPr="00E6381B" w:rsidRDefault="00FF7487" w:rsidP="00AF61BE"/>
                  </w:txbxContent>
                </v:textbox>
                <w10:wrap type="square" anchorx="margin"/>
              </v:shape>
            </w:pict>
          </mc:Fallback>
        </mc:AlternateContent>
      </w:r>
    </w:p>
    <w:sectPr w:rsidR="006050F3" w:rsidRPr="00F80685"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EA1" w:rsidRDefault="004A7B3D">
      <w:r>
        <w:separator/>
      </w:r>
    </w:p>
  </w:endnote>
  <w:endnote w:type="continuationSeparator" w:id="0">
    <w:p w:rsidR="00CC3EA1" w:rsidRDefault="004A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4A7B3D"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FF7487">
      <w:rPr>
        <w:rStyle w:val="Paginanummer"/>
        <w:noProof/>
        <w:color w:val="535953"/>
        <w:sz w:val="16"/>
        <w:szCs w:val="16"/>
      </w:rPr>
      <w:t>2</w:t>
    </w:r>
    <w:r w:rsidRPr="006227FD">
      <w:rPr>
        <w:rStyle w:val="Paginanummer"/>
        <w:color w:val="535953"/>
        <w:sz w:val="16"/>
        <w:szCs w:val="16"/>
      </w:rPr>
      <w:fldChar w:fldCharType="end"/>
    </w:r>
  </w:p>
  <w:p w:rsidR="00B01FFE" w:rsidRDefault="00FF74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5F6540" w:rsidP="00893833">
    <w:pPr>
      <w:framePr w:wrap="around" w:vAnchor="text" w:hAnchor="page" w:x="6071" w:y="277"/>
      <w:rPr>
        <w:rStyle w:val="Paginanummer"/>
        <w:color w:val="535953"/>
        <w:sz w:val="16"/>
        <w:szCs w:val="16"/>
      </w:rPr>
    </w:pPr>
    <w:r>
      <w:rPr>
        <w:rStyle w:val="Paginanummer"/>
        <w:lang w:val="nl-NL"/>
      </w:rPr>
      <w:t xml:space="preserve"> </w:t>
    </w:r>
    <w:r w:rsidR="004A7B3D" w:rsidRPr="00893833">
      <w:rPr>
        <w:rStyle w:val="Paginanummer"/>
        <w:color w:val="535953"/>
        <w:sz w:val="16"/>
        <w:szCs w:val="16"/>
      </w:rPr>
      <w:fldChar w:fldCharType="begin"/>
    </w:r>
    <w:r w:rsidR="004A7B3D" w:rsidRPr="00893833">
      <w:rPr>
        <w:rStyle w:val="Paginanummer"/>
        <w:color w:val="535953"/>
        <w:sz w:val="16"/>
        <w:szCs w:val="16"/>
      </w:rPr>
      <w:instrText xml:space="preserve">PAGE  </w:instrText>
    </w:r>
    <w:r w:rsidR="004A7B3D" w:rsidRPr="00893833">
      <w:rPr>
        <w:rStyle w:val="Paginanummer"/>
        <w:color w:val="535953"/>
        <w:sz w:val="16"/>
        <w:szCs w:val="16"/>
      </w:rPr>
      <w:fldChar w:fldCharType="separate"/>
    </w:r>
    <w:r w:rsidR="00FF7487">
      <w:rPr>
        <w:rStyle w:val="Paginanummer"/>
        <w:noProof/>
        <w:color w:val="535953"/>
        <w:sz w:val="16"/>
        <w:szCs w:val="16"/>
      </w:rPr>
      <w:t>1</w:t>
    </w:r>
    <w:r w:rsidR="004A7B3D" w:rsidRPr="00893833">
      <w:rPr>
        <w:rStyle w:val="Paginanummer"/>
        <w:color w:val="535953"/>
        <w:sz w:val="16"/>
        <w:szCs w:val="16"/>
      </w:rPr>
      <w:fldChar w:fldCharType="end"/>
    </w:r>
  </w:p>
  <w:p w:rsidR="00B01FFE" w:rsidRDefault="00FF74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EA1" w:rsidRDefault="004A7B3D">
      <w:r>
        <w:separator/>
      </w:r>
    </w:p>
  </w:footnote>
  <w:footnote w:type="continuationSeparator" w:id="0">
    <w:p w:rsidR="00CC3EA1" w:rsidRDefault="004A7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4A7B3D"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FF74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4A7B3D">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4A7B3D">
                          <w:pPr>
                            <w:rPr>
                              <w:rFonts w:ascii="Arial" w:hAnsi="Arial" w:cs="Arial"/>
                              <w:color w:val="002239" w:themeColor="text2" w:themeShade="80"/>
                            </w:rPr>
                          </w:pPr>
                          <w:r>
                            <w:rPr>
                              <w:rFonts w:ascii="Arial" w:hAnsi="Arial" w:cs="Arial"/>
                              <w:color w:val="0F1F4B"/>
                              <w:lang w:val="nl-NL"/>
                            </w:rPr>
                            <w:t>Implementatierichtlijn 1110</w:t>
                          </w:r>
                          <w:r w:rsidR="005F6540">
                            <w:rPr>
                              <w:rFonts w:ascii="Arial" w:hAnsi="Arial" w:cs="Arial"/>
                              <w:color w:val="002239" w:themeColor="text2" w:themeShade="80"/>
                              <w:lang w:val="nl-NL"/>
                            </w:rPr>
                            <w:t xml:space="preserve"> </w:t>
                          </w:r>
                          <w:r w:rsidR="00824D34">
                            <w:rPr>
                              <w:rFonts w:ascii="Arial" w:hAnsi="Arial" w:cs="Arial"/>
                              <w:color w:val="002239" w:themeColor="text2" w:themeShade="80"/>
                              <w:lang w:val="nl-NL"/>
                            </w:rPr>
                            <w:t xml:space="preserve">- </w:t>
                          </w:r>
                          <w:r>
                            <w:rPr>
                              <w:rFonts w:ascii="Arial" w:hAnsi="Arial" w:cs="Arial"/>
                              <w:color w:val="535953"/>
                              <w:lang w:val="nl-NL"/>
                            </w:rPr>
                            <w:t>Organisatorische onafhankelijkheid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4A7B3D">
                    <w:pPr>
                      <w:rPr>
                        <w:rFonts w:ascii="Arial" w:hAnsi="Arial" w:cs="Arial"/>
                        <w:color w:val="002239" w:themeColor="text2" w:themeShade="80"/>
                      </w:rPr>
                    </w:pPr>
                    <w:r>
                      <w:rPr>
                        <w:rFonts w:ascii="Arial" w:hAnsi="Arial" w:cs="Arial"/>
                        <w:color w:val="0F1F4B"/>
                        <w:lang w:val="nl-NL"/>
                      </w:rPr>
                      <w:t>Implementatierichtlijn 1110</w:t>
                    </w:r>
                    <w:r w:rsidR="005F6540">
                      <w:rPr>
                        <w:rFonts w:ascii="Arial" w:hAnsi="Arial" w:cs="Arial"/>
                        <w:color w:val="002239" w:themeColor="text2" w:themeShade="80"/>
                        <w:lang w:val="nl-NL"/>
                      </w:rPr>
                      <w:t xml:space="preserve"> </w:t>
                    </w:r>
                    <w:r w:rsidR="00824D34">
                      <w:rPr>
                        <w:rFonts w:ascii="Arial" w:hAnsi="Arial" w:cs="Arial"/>
                        <w:color w:val="002239" w:themeColor="text2" w:themeShade="80"/>
                        <w:lang w:val="nl-NL"/>
                      </w:rPr>
                      <w:t xml:space="preserve">- </w:t>
                    </w:r>
                    <w:r>
                      <w:rPr>
                        <w:rFonts w:ascii="Arial" w:hAnsi="Arial" w:cs="Arial"/>
                        <w:color w:val="535953"/>
                        <w:lang w:val="nl-NL"/>
                      </w:rPr>
                      <w:t>Organisatorische onafhankelijkheid</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4A7B3D">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64F0A792">
      <w:start w:val="1"/>
      <w:numFmt w:val="bullet"/>
      <w:lvlText w:val=""/>
      <w:lvlJc w:val="left"/>
      <w:pPr>
        <w:ind w:left="990" w:hanging="360"/>
      </w:pPr>
      <w:rPr>
        <w:rFonts w:ascii="Symbol" w:hAnsi="Symbol" w:hint="default"/>
        <w:color w:val="D32E30" w:themeColor="accent2"/>
      </w:rPr>
    </w:lvl>
    <w:lvl w:ilvl="1" w:tplc="200235F2" w:tentative="1">
      <w:start w:val="1"/>
      <w:numFmt w:val="bullet"/>
      <w:lvlText w:val="o"/>
      <w:lvlJc w:val="left"/>
      <w:pPr>
        <w:ind w:left="1710" w:hanging="360"/>
      </w:pPr>
      <w:rPr>
        <w:rFonts w:ascii="Courier New" w:hAnsi="Courier New" w:hint="default"/>
      </w:rPr>
    </w:lvl>
    <w:lvl w:ilvl="2" w:tplc="E8F8F092" w:tentative="1">
      <w:start w:val="1"/>
      <w:numFmt w:val="bullet"/>
      <w:lvlText w:val=""/>
      <w:lvlJc w:val="left"/>
      <w:pPr>
        <w:ind w:left="2430" w:hanging="360"/>
      </w:pPr>
      <w:rPr>
        <w:rFonts w:ascii="Wingdings" w:hAnsi="Wingdings" w:hint="default"/>
      </w:rPr>
    </w:lvl>
    <w:lvl w:ilvl="3" w:tplc="C80894C8" w:tentative="1">
      <w:start w:val="1"/>
      <w:numFmt w:val="bullet"/>
      <w:lvlText w:val=""/>
      <w:lvlJc w:val="left"/>
      <w:pPr>
        <w:ind w:left="3150" w:hanging="360"/>
      </w:pPr>
      <w:rPr>
        <w:rFonts w:ascii="Symbol" w:hAnsi="Symbol" w:hint="default"/>
      </w:rPr>
    </w:lvl>
    <w:lvl w:ilvl="4" w:tplc="39F4C0A6" w:tentative="1">
      <w:start w:val="1"/>
      <w:numFmt w:val="bullet"/>
      <w:lvlText w:val="o"/>
      <w:lvlJc w:val="left"/>
      <w:pPr>
        <w:ind w:left="3870" w:hanging="360"/>
      </w:pPr>
      <w:rPr>
        <w:rFonts w:ascii="Courier New" w:hAnsi="Courier New" w:hint="default"/>
      </w:rPr>
    </w:lvl>
    <w:lvl w:ilvl="5" w:tplc="1EB44BCA" w:tentative="1">
      <w:start w:val="1"/>
      <w:numFmt w:val="bullet"/>
      <w:lvlText w:val=""/>
      <w:lvlJc w:val="left"/>
      <w:pPr>
        <w:ind w:left="4590" w:hanging="360"/>
      </w:pPr>
      <w:rPr>
        <w:rFonts w:ascii="Wingdings" w:hAnsi="Wingdings" w:hint="default"/>
      </w:rPr>
    </w:lvl>
    <w:lvl w:ilvl="6" w:tplc="ECC862BA" w:tentative="1">
      <w:start w:val="1"/>
      <w:numFmt w:val="bullet"/>
      <w:lvlText w:val=""/>
      <w:lvlJc w:val="left"/>
      <w:pPr>
        <w:ind w:left="5310" w:hanging="360"/>
      </w:pPr>
      <w:rPr>
        <w:rFonts w:ascii="Symbol" w:hAnsi="Symbol" w:hint="default"/>
      </w:rPr>
    </w:lvl>
    <w:lvl w:ilvl="7" w:tplc="15CC8A54" w:tentative="1">
      <w:start w:val="1"/>
      <w:numFmt w:val="bullet"/>
      <w:lvlText w:val="o"/>
      <w:lvlJc w:val="left"/>
      <w:pPr>
        <w:ind w:left="6030" w:hanging="360"/>
      </w:pPr>
      <w:rPr>
        <w:rFonts w:ascii="Courier New" w:hAnsi="Courier New" w:hint="default"/>
      </w:rPr>
    </w:lvl>
    <w:lvl w:ilvl="8" w:tplc="2106480E"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A770E70E">
      <w:start w:val="1"/>
      <w:numFmt w:val="bullet"/>
      <w:pStyle w:val="RedBullets"/>
      <w:lvlText w:val=""/>
      <w:lvlJc w:val="left"/>
      <w:pPr>
        <w:ind w:left="994" w:hanging="360"/>
      </w:pPr>
      <w:rPr>
        <w:rFonts w:ascii="Symbol" w:hAnsi="Symbol" w:hint="default"/>
        <w:color w:val="D32E30" w:themeColor="accent2"/>
      </w:rPr>
    </w:lvl>
    <w:lvl w:ilvl="1" w:tplc="945C1FE4">
      <w:start w:val="1"/>
      <w:numFmt w:val="bullet"/>
      <w:lvlText w:val="o"/>
      <w:lvlJc w:val="left"/>
      <w:pPr>
        <w:ind w:left="1714" w:hanging="360"/>
      </w:pPr>
      <w:rPr>
        <w:rFonts w:ascii="Courier New" w:hAnsi="Courier New" w:hint="default"/>
      </w:rPr>
    </w:lvl>
    <w:lvl w:ilvl="2" w:tplc="F81ABBD8" w:tentative="1">
      <w:start w:val="1"/>
      <w:numFmt w:val="bullet"/>
      <w:lvlText w:val=""/>
      <w:lvlJc w:val="left"/>
      <w:pPr>
        <w:ind w:left="2434" w:hanging="360"/>
      </w:pPr>
      <w:rPr>
        <w:rFonts w:ascii="Wingdings" w:hAnsi="Wingdings" w:hint="default"/>
      </w:rPr>
    </w:lvl>
    <w:lvl w:ilvl="3" w:tplc="C0CE101C" w:tentative="1">
      <w:start w:val="1"/>
      <w:numFmt w:val="bullet"/>
      <w:lvlText w:val=""/>
      <w:lvlJc w:val="left"/>
      <w:pPr>
        <w:ind w:left="3154" w:hanging="360"/>
      </w:pPr>
      <w:rPr>
        <w:rFonts w:ascii="Symbol" w:hAnsi="Symbol" w:hint="default"/>
      </w:rPr>
    </w:lvl>
    <w:lvl w:ilvl="4" w:tplc="6C78C402" w:tentative="1">
      <w:start w:val="1"/>
      <w:numFmt w:val="bullet"/>
      <w:lvlText w:val="o"/>
      <w:lvlJc w:val="left"/>
      <w:pPr>
        <w:ind w:left="3874" w:hanging="360"/>
      </w:pPr>
      <w:rPr>
        <w:rFonts w:ascii="Courier New" w:hAnsi="Courier New" w:hint="default"/>
      </w:rPr>
    </w:lvl>
    <w:lvl w:ilvl="5" w:tplc="F3EC5310" w:tentative="1">
      <w:start w:val="1"/>
      <w:numFmt w:val="bullet"/>
      <w:lvlText w:val=""/>
      <w:lvlJc w:val="left"/>
      <w:pPr>
        <w:ind w:left="4594" w:hanging="360"/>
      </w:pPr>
      <w:rPr>
        <w:rFonts w:ascii="Wingdings" w:hAnsi="Wingdings" w:hint="default"/>
      </w:rPr>
    </w:lvl>
    <w:lvl w:ilvl="6" w:tplc="0608C7CC" w:tentative="1">
      <w:start w:val="1"/>
      <w:numFmt w:val="bullet"/>
      <w:lvlText w:val=""/>
      <w:lvlJc w:val="left"/>
      <w:pPr>
        <w:ind w:left="5314" w:hanging="360"/>
      </w:pPr>
      <w:rPr>
        <w:rFonts w:ascii="Symbol" w:hAnsi="Symbol" w:hint="default"/>
      </w:rPr>
    </w:lvl>
    <w:lvl w:ilvl="7" w:tplc="857A0ED6" w:tentative="1">
      <w:start w:val="1"/>
      <w:numFmt w:val="bullet"/>
      <w:lvlText w:val="o"/>
      <w:lvlJc w:val="left"/>
      <w:pPr>
        <w:ind w:left="6034" w:hanging="360"/>
      </w:pPr>
      <w:rPr>
        <w:rFonts w:ascii="Courier New" w:hAnsi="Courier New" w:hint="default"/>
      </w:rPr>
    </w:lvl>
    <w:lvl w:ilvl="8" w:tplc="8D4E50A0"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33EEA208">
      <w:start w:val="1"/>
      <w:numFmt w:val="bullet"/>
      <w:lvlText w:val=""/>
      <w:lvlJc w:val="left"/>
      <w:pPr>
        <w:ind w:left="720" w:hanging="360"/>
      </w:pPr>
      <w:rPr>
        <w:rFonts w:ascii="Symbol" w:hAnsi="Symbol" w:hint="default"/>
        <w:color w:val="D32E30" w:themeColor="accent2"/>
      </w:rPr>
    </w:lvl>
    <w:lvl w:ilvl="1" w:tplc="8C063B20" w:tentative="1">
      <w:start w:val="1"/>
      <w:numFmt w:val="bullet"/>
      <w:lvlText w:val="o"/>
      <w:lvlJc w:val="left"/>
      <w:pPr>
        <w:ind w:left="1170" w:hanging="360"/>
      </w:pPr>
      <w:rPr>
        <w:rFonts w:ascii="Courier New" w:hAnsi="Courier New" w:hint="default"/>
      </w:rPr>
    </w:lvl>
    <w:lvl w:ilvl="2" w:tplc="B08A4C04" w:tentative="1">
      <w:start w:val="1"/>
      <w:numFmt w:val="bullet"/>
      <w:lvlText w:val=""/>
      <w:lvlJc w:val="left"/>
      <w:pPr>
        <w:ind w:left="1890" w:hanging="360"/>
      </w:pPr>
      <w:rPr>
        <w:rFonts w:ascii="Wingdings" w:hAnsi="Wingdings" w:hint="default"/>
      </w:rPr>
    </w:lvl>
    <w:lvl w:ilvl="3" w:tplc="9A9E3C9A" w:tentative="1">
      <w:start w:val="1"/>
      <w:numFmt w:val="bullet"/>
      <w:lvlText w:val=""/>
      <w:lvlJc w:val="left"/>
      <w:pPr>
        <w:ind w:left="2610" w:hanging="360"/>
      </w:pPr>
      <w:rPr>
        <w:rFonts w:ascii="Symbol" w:hAnsi="Symbol" w:hint="default"/>
      </w:rPr>
    </w:lvl>
    <w:lvl w:ilvl="4" w:tplc="2AF8D682" w:tentative="1">
      <w:start w:val="1"/>
      <w:numFmt w:val="bullet"/>
      <w:lvlText w:val="o"/>
      <w:lvlJc w:val="left"/>
      <w:pPr>
        <w:ind w:left="3330" w:hanging="360"/>
      </w:pPr>
      <w:rPr>
        <w:rFonts w:ascii="Courier New" w:hAnsi="Courier New" w:hint="default"/>
      </w:rPr>
    </w:lvl>
    <w:lvl w:ilvl="5" w:tplc="D68C50DE" w:tentative="1">
      <w:start w:val="1"/>
      <w:numFmt w:val="bullet"/>
      <w:lvlText w:val=""/>
      <w:lvlJc w:val="left"/>
      <w:pPr>
        <w:ind w:left="4050" w:hanging="360"/>
      </w:pPr>
      <w:rPr>
        <w:rFonts w:ascii="Wingdings" w:hAnsi="Wingdings" w:hint="default"/>
      </w:rPr>
    </w:lvl>
    <w:lvl w:ilvl="6" w:tplc="AC244C02" w:tentative="1">
      <w:start w:val="1"/>
      <w:numFmt w:val="bullet"/>
      <w:lvlText w:val=""/>
      <w:lvlJc w:val="left"/>
      <w:pPr>
        <w:ind w:left="4770" w:hanging="360"/>
      </w:pPr>
      <w:rPr>
        <w:rFonts w:ascii="Symbol" w:hAnsi="Symbol" w:hint="default"/>
      </w:rPr>
    </w:lvl>
    <w:lvl w:ilvl="7" w:tplc="6D1C3E60" w:tentative="1">
      <w:start w:val="1"/>
      <w:numFmt w:val="bullet"/>
      <w:lvlText w:val="o"/>
      <w:lvlJc w:val="left"/>
      <w:pPr>
        <w:ind w:left="5490" w:hanging="360"/>
      </w:pPr>
      <w:rPr>
        <w:rFonts w:ascii="Courier New" w:hAnsi="Courier New" w:hint="default"/>
      </w:rPr>
    </w:lvl>
    <w:lvl w:ilvl="8" w:tplc="6CDCA1C0"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4A7B3D"/>
    <w:rsid w:val="004A7B3D"/>
    <w:rsid w:val="005F6540"/>
    <w:rsid w:val="00824D34"/>
    <w:rsid w:val="00C4461B"/>
    <w:rsid w:val="00CC3EA1"/>
    <w:rsid w:val="00F80685"/>
    <w:rsid w:val="00FF748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C522224-6433-48DC-A7AD-5D0B3C32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0F642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F6428"/>
    <w:rPr>
      <w:rFonts w:ascii="Segoe UI" w:hAnsi="Segoe UI" w:cs="Segoe UI"/>
      <w:sz w:val="18"/>
      <w:szCs w:val="18"/>
    </w:rPr>
  </w:style>
  <w:style w:type="character" w:styleId="Verwijzingopmerking">
    <w:name w:val="annotation reference"/>
    <w:basedOn w:val="Standaardalinea-lettertype"/>
    <w:uiPriority w:val="99"/>
    <w:semiHidden/>
    <w:unhideWhenUsed/>
    <w:rsid w:val="000F2DEC"/>
    <w:rPr>
      <w:sz w:val="16"/>
      <w:szCs w:val="16"/>
    </w:rPr>
  </w:style>
  <w:style w:type="paragraph" w:styleId="Tekstopmerking">
    <w:name w:val="annotation text"/>
    <w:basedOn w:val="Standaard"/>
    <w:link w:val="TekstopmerkingChar"/>
    <w:uiPriority w:val="99"/>
    <w:semiHidden/>
    <w:unhideWhenUsed/>
    <w:rsid w:val="000F2DEC"/>
    <w:rPr>
      <w:sz w:val="20"/>
      <w:szCs w:val="20"/>
    </w:rPr>
  </w:style>
  <w:style w:type="character" w:customStyle="1" w:styleId="TekstopmerkingChar">
    <w:name w:val="Tekst opmerking Char"/>
    <w:basedOn w:val="Standaardalinea-lettertype"/>
    <w:link w:val="Tekstopmerking"/>
    <w:uiPriority w:val="99"/>
    <w:semiHidden/>
    <w:rsid w:val="000F2DEC"/>
    <w:rPr>
      <w:sz w:val="20"/>
      <w:szCs w:val="20"/>
    </w:rPr>
  </w:style>
  <w:style w:type="paragraph" w:styleId="Onderwerpvanopmerking">
    <w:name w:val="annotation subject"/>
    <w:basedOn w:val="Tekstopmerking"/>
    <w:next w:val="Tekstopmerking"/>
    <w:link w:val="OnderwerpvanopmerkingChar"/>
    <w:uiPriority w:val="99"/>
    <w:semiHidden/>
    <w:unhideWhenUsed/>
    <w:rsid w:val="000F2DEC"/>
    <w:rPr>
      <w:b/>
      <w:bCs/>
    </w:rPr>
  </w:style>
  <w:style w:type="character" w:customStyle="1" w:styleId="OnderwerpvanopmerkingChar">
    <w:name w:val="Onderwerp van opmerking Char"/>
    <w:basedOn w:val="TekstopmerkingChar"/>
    <w:link w:val="Onderwerpvanopmerking"/>
    <w:uiPriority w:val="99"/>
    <w:semiHidden/>
    <w:rsid w:val="000F2DEC"/>
    <w:rPr>
      <w:b/>
      <w:bCs/>
      <w:sz w:val="20"/>
      <w:szCs w:val="20"/>
    </w:rPr>
  </w:style>
  <w:style w:type="paragraph" w:styleId="Geenafstand">
    <w:name w:val="No Spacing"/>
    <w:uiPriority w:val="1"/>
    <w:qFormat/>
    <w:rsid w:val="00F80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072594-50CB-405C-BF7B-F132C6CE2587}">
  <ds:schemaRefs>
    <ds:schemaRef ds:uri="http://schemas.openxmlformats.org/officeDocument/2006/bibliography"/>
  </ds:schemaRefs>
</ds:datastoreItem>
</file>

<file path=customXml/itemProps2.xml><?xml version="1.0" encoding="utf-8"?>
<ds:datastoreItem xmlns:ds="http://schemas.openxmlformats.org/officeDocument/2006/customXml" ds:itemID="{9CA3702F-F07F-4D78-AAEA-0E29935C4C28}"/>
</file>

<file path=customXml/itemProps3.xml><?xml version="1.0" encoding="utf-8"?>
<ds:datastoreItem xmlns:ds="http://schemas.openxmlformats.org/officeDocument/2006/customXml" ds:itemID="{53491FC3-D3B7-4A0E-A4F6-BD155674148E}"/>
</file>

<file path=customXml/itemProps4.xml><?xml version="1.0" encoding="utf-8"?>
<ds:datastoreItem xmlns:ds="http://schemas.openxmlformats.org/officeDocument/2006/customXml" ds:itemID="{8114FE42-6915-4E44-AEEF-792DD5040D2D}"/>
</file>

<file path=docProps/app.xml><?xml version="1.0" encoding="utf-8"?>
<Properties xmlns="http://schemas.openxmlformats.org/officeDocument/2006/extended-properties" xmlns:vt="http://schemas.openxmlformats.org/officeDocument/2006/docPropsVTypes">
  <Template>679CF738</Template>
  <TotalTime>6</TotalTime>
  <Pages>5</Pages>
  <Words>900</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dcterms:created xsi:type="dcterms:W3CDTF">2016-11-07T15:39:00Z</dcterms:created>
  <dcterms:modified xsi:type="dcterms:W3CDTF">2017-08-21T12:30:00Z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