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FCE" w:rsidRPr="00F80685" w:rsidRDefault="004A7B3D" w:rsidP="00AF61BE">
      <w:pPr>
        <w:pStyle w:val="TemplateHeadline"/>
        <w:rPr>
          <w:rFonts w:asciiTheme="minorHAnsi" w:hAnsiTheme="minorHAnsi" w:cstheme="minorHAnsi"/>
        </w:rPr>
      </w:pPr>
      <w:r w:rsidRPr="00F80685">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simplePos x="0" y="0"/>
                <wp:positionH relativeFrom="margin">
                  <wp:posOffset>0</wp:posOffset>
                </wp:positionH>
                <wp:positionV relativeFrom="margin">
                  <wp:posOffset>1485900</wp:posOffset>
                </wp:positionV>
                <wp:extent cx="6400800" cy="6400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64008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61C77" w:rsidRPr="00F80685" w:rsidRDefault="004A7B3D" w:rsidP="00B61C77">
                            <w:pPr>
                              <w:pStyle w:val="TemplateHeadline"/>
                              <w:rPr>
                                <w:rFonts w:asciiTheme="minorHAnsi" w:hAnsiTheme="minorHAnsi" w:cstheme="minorHAnsi"/>
                              </w:rPr>
                            </w:pPr>
                            <w:r w:rsidRPr="00F80685">
                              <w:rPr>
                                <w:rFonts w:asciiTheme="minorHAnsi" w:hAnsiTheme="minorHAnsi" w:cstheme="minorHAnsi"/>
                                <w:lang w:val="nl-NL"/>
                              </w:rPr>
                              <w:t>Standaard 1110 - Organisatorische onafhankelijkheid</w:t>
                            </w:r>
                          </w:p>
                          <w:p w:rsidR="00375FCE" w:rsidRPr="00F80685" w:rsidRDefault="004A7B3D" w:rsidP="00375FCE">
                            <w:pPr>
                              <w:pStyle w:val="RedBullets"/>
                              <w:numPr>
                                <w:ilvl w:val="0"/>
                                <w:numId w:val="0"/>
                              </w:numPr>
                              <w:rPr>
                                <w:rFonts w:asciiTheme="minorHAnsi" w:hAnsiTheme="minorHAnsi" w:cstheme="minorHAnsi"/>
                                <w:sz w:val="22"/>
                                <w:szCs w:val="22"/>
                              </w:rPr>
                            </w:pPr>
                            <w:r w:rsidRPr="00F80685">
                              <w:rPr>
                                <w:rFonts w:asciiTheme="minorHAnsi" w:hAnsiTheme="minorHAnsi" w:cstheme="minorHAnsi"/>
                                <w:sz w:val="22"/>
                                <w:szCs w:val="22"/>
                                <w:lang w:val="nl-NL"/>
                              </w:rPr>
                              <w:t>Het hoofd van de internal auditfunctie moet rapporteren aan een niveau binnen de organisatie dat het mogelijk maakt dat de internal auditfunctie haar verantwoordelijkheden kan dragen. Het hoofd van de internal auditfunctie moet in ieder geval eenmaal per jaar de onafhankelijkheid van de internal auditfunctie binnen de organisatie bevestigen aan het bestuur.</w:t>
                            </w:r>
                          </w:p>
                          <w:p w:rsidR="00375FCE" w:rsidRPr="00F80685" w:rsidRDefault="00FF7487" w:rsidP="00F80685">
                            <w:pPr>
                              <w:pStyle w:val="Geenafstand"/>
                            </w:pPr>
                          </w:p>
                          <w:p w:rsidR="00375FCE" w:rsidRDefault="004A7B3D" w:rsidP="00375FCE">
                            <w:pPr>
                              <w:pStyle w:val="RedBullets"/>
                              <w:numPr>
                                <w:ilvl w:val="0"/>
                                <w:numId w:val="0"/>
                              </w:numPr>
                              <w:rPr>
                                <w:rFonts w:asciiTheme="minorHAnsi" w:hAnsiTheme="minorHAnsi" w:cstheme="minorHAnsi"/>
                                <w:b/>
                                <w:bCs/>
                                <w:lang w:val="nl-NL"/>
                              </w:rPr>
                            </w:pPr>
                            <w:r w:rsidRPr="00F80685">
                              <w:rPr>
                                <w:rFonts w:asciiTheme="minorHAnsi" w:hAnsiTheme="minorHAnsi" w:cstheme="minorHAnsi"/>
                                <w:b/>
                                <w:bCs/>
                                <w:lang w:val="nl-NL"/>
                              </w:rPr>
                              <w:t>Interpretatie:</w:t>
                            </w:r>
                          </w:p>
                          <w:p w:rsidR="00F80685" w:rsidRPr="00F80685" w:rsidRDefault="00F80685" w:rsidP="00F80685">
                            <w:pPr>
                              <w:pStyle w:val="Geenafstand"/>
                            </w:pPr>
                          </w:p>
                          <w:p w:rsidR="00375FCE" w:rsidRPr="00F80685" w:rsidRDefault="004A7B3D" w:rsidP="00375FCE">
                            <w:pPr>
                              <w:pStyle w:val="RedBullets"/>
                              <w:numPr>
                                <w:ilvl w:val="0"/>
                                <w:numId w:val="0"/>
                              </w:numPr>
                              <w:rPr>
                                <w:rFonts w:asciiTheme="minorHAnsi" w:hAnsiTheme="minorHAnsi" w:cstheme="minorHAnsi"/>
                                <w:i/>
                                <w:sz w:val="22"/>
                                <w:szCs w:val="22"/>
                              </w:rPr>
                            </w:pPr>
                            <w:r w:rsidRPr="00F80685">
                              <w:rPr>
                                <w:rFonts w:asciiTheme="minorHAnsi" w:hAnsiTheme="minorHAnsi" w:cstheme="minorHAnsi"/>
                                <w:i/>
                                <w:iCs/>
                                <w:sz w:val="22"/>
                                <w:szCs w:val="22"/>
                                <w:lang w:val="nl-NL"/>
                              </w:rPr>
                              <w:t>Organisatorische onafhankelijkheid kan op adequate wijze worden bereikt indien het hoofd van de internal auditfunctie functioneel rapporteert aan het bestuur. Voorbeelden van functionele rapportage aan het bestuur zijn onder meer dat het bestuur:</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Het internal auditcharter goedkeurt.</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Het op risico's gebaseerde internal auditplan goedkeurt.</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Het budget en middelenplan voor de internal auditing goedkeurt.</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Mededelingen ontvangt van het hoofd van de internal auditfunctie over de uitvoering van de internal auditing in het licht van het plan en overige aangelegenheden.</w:t>
                            </w:r>
                            <w:r w:rsidRPr="00F80685">
                              <w:rPr>
                                <w:rFonts w:asciiTheme="minorHAnsi" w:hAnsiTheme="minorHAnsi" w:cstheme="minorHAnsi"/>
                                <w:sz w:val="22"/>
                                <w:szCs w:val="22"/>
                                <w:lang w:val="nl-NL"/>
                              </w:rPr>
                              <w:t xml:space="preserve"> </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Beslissingen met betrekking tot de benoeming en het ontslag van het hoofd van de internal auditfunctie goedkeurt.</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De beloning van het hoofd van de internal auditfunctie goedkeurt.</w:t>
                            </w:r>
                          </w:p>
                          <w:p w:rsidR="004B2AC5" w:rsidRPr="00F80685" w:rsidRDefault="004A7B3D" w:rsidP="00F80685">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De juiste informatie opvraagt bij het management en het hoofd van de internal auditfunctie om te bepalen of er ongewenste beperkingen bestaan ten aanzien van de reikwijdte en de middelen.</w:t>
                            </w:r>
                          </w:p>
                          <w:p w:rsidR="004B2AC5" w:rsidRPr="00F80685" w:rsidRDefault="004A7B3D" w:rsidP="004B2AC5">
                            <w:pPr>
                              <w:pStyle w:val="RedBullets"/>
                              <w:numPr>
                                <w:ilvl w:val="0"/>
                                <w:numId w:val="0"/>
                              </w:numPr>
                              <w:ind w:left="634"/>
                              <w:jc w:val="right"/>
                              <w:rPr>
                                <w:rFonts w:asciiTheme="minorHAnsi" w:hAnsiTheme="minorHAnsi" w:cstheme="minorHAnsi"/>
                                <w:sz w:val="22"/>
                                <w:szCs w:val="22"/>
                              </w:rPr>
                            </w:pPr>
                            <w:r w:rsidRPr="00F80685">
                              <w:rPr>
                                <w:rFonts w:asciiTheme="minorHAnsi" w:hAnsiTheme="minorHAnsi" w:cstheme="minorHAnsi"/>
                                <w:sz w:val="22"/>
                                <w:szCs w:val="22"/>
                                <w:lang w:val="nl-NL"/>
                              </w:rPr>
                              <w:t xml:space="preserve">Herziene </w:t>
                            </w:r>
                            <w:r w:rsidRPr="00FF7487">
                              <w:rPr>
                                <w:rFonts w:asciiTheme="minorHAnsi" w:hAnsiTheme="minorHAnsi" w:cstheme="minorHAnsi"/>
                                <w:i/>
                                <w:sz w:val="22"/>
                                <w:szCs w:val="22"/>
                                <w:lang w:val="nl-NL"/>
                              </w:rPr>
                              <w:t>Standaarden</w:t>
                            </w:r>
                            <w:r w:rsidRPr="00F80685">
                              <w:rPr>
                                <w:rFonts w:asciiTheme="minorHAnsi" w:hAnsiTheme="minorHAnsi" w:cstheme="minorHAnsi"/>
                                <w:sz w:val="22"/>
                                <w:szCs w:val="22"/>
                                <w:lang w:val="nl-NL"/>
                              </w:rPr>
                              <w:t xml:space="preserve"> die per 1 januari 2017 van kracht zijn</w:t>
                            </w:r>
                            <w:bookmarkStart w:id="0" w:name="_GoBack"/>
                            <w:bookmarkEnd w:id="0"/>
                            <w:r w:rsidRPr="00F80685">
                              <w:rPr>
                                <w:rFonts w:asciiTheme="minorHAnsi" w:hAnsiTheme="minorHAnsi" w:cstheme="minorHAnsi"/>
                                <w:sz w:val="22"/>
                                <w:szCs w:val="22"/>
                                <w:lang w:val="nl-NL"/>
                              </w:rPr>
                              <w:t xml:space="preserve"> </w:t>
                            </w:r>
                          </w:p>
                          <w:p w:rsidR="004B2AC5" w:rsidRPr="00F80685" w:rsidRDefault="00FF7487" w:rsidP="004B2AC5">
                            <w:pPr>
                              <w:pStyle w:val="RedBullets"/>
                              <w:numPr>
                                <w:ilvl w:val="0"/>
                                <w:numId w:val="0"/>
                              </w:numPr>
                              <w:ind w:left="994"/>
                              <w:rPr>
                                <w:rFonts w:asciiTheme="minorHAnsi" w:hAnsiTheme="minorHAnsi" w:cstheme="minorHAnsi"/>
                                <w:i/>
                                <w:sz w:val="22"/>
                                <w:szCs w:val="22"/>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17pt;width:7in;height:7in;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" fillcolor="#d8d8d8 [2732]" stroked="f">
                <v:textbox inset="14.4pt,23.76pt,14.4pt,23.76pt">
                  <w:txbxContent>
                    <w:p w:rsidR="00B61C77" w:rsidRPr="00F80685" w:rsidRDefault="004A7B3D" w:rsidP="00B61C77">
                      <w:pPr>
                        <w:pStyle w:val="TemplateHeadline"/>
                        <w:rPr>
                          <w:rFonts w:asciiTheme="minorHAnsi" w:hAnsiTheme="minorHAnsi" w:cstheme="minorHAnsi"/>
                        </w:rPr>
                      </w:pPr>
                      <w:r w:rsidRPr="00F80685">
                        <w:rPr>
                          <w:rFonts w:asciiTheme="minorHAnsi" w:hAnsiTheme="minorHAnsi" w:cstheme="minorHAnsi"/>
                          <w:lang w:val="nl-NL"/>
                        </w:rPr>
                        <w:t>Standaard 1110 - Organisatorische onafhankelijkheid</w:t>
                      </w:r>
                    </w:p>
                    <w:p w:rsidR="00375FCE" w:rsidRPr="00F80685" w:rsidRDefault="004A7B3D" w:rsidP="00375FCE">
                      <w:pPr>
                        <w:pStyle w:val="RedBullets"/>
                        <w:numPr>
                          <w:ilvl w:val="0"/>
                          <w:numId w:val="0"/>
                        </w:numPr>
                        <w:rPr>
                          <w:rFonts w:asciiTheme="minorHAnsi" w:hAnsiTheme="minorHAnsi" w:cstheme="minorHAnsi"/>
                          <w:sz w:val="22"/>
                          <w:szCs w:val="22"/>
                        </w:rPr>
                      </w:pPr>
                      <w:r w:rsidRPr="00F80685">
                        <w:rPr>
                          <w:rFonts w:asciiTheme="minorHAnsi" w:hAnsiTheme="minorHAnsi" w:cstheme="minorHAnsi"/>
                          <w:sz w:val="22"/>
                          <w:szCs w:val="22"/>
                          <w:lang w:val="nl-NL"/>
                        </w:rPr>
                        <w:t>Het hoofd van de internal auditfunctie moet rapporteren aan een niveau binnen de organisatie dat het mogelijk maakt dat de internal auditfunctie haar verantwoordelijkheden kan dragen. Het hoofd van de internal auditfunctie moet in ieder geval eenmaal per jaar de onafhankelijkheid van de internal auditfunctie binnen de organisatie bevestigen aan het bestuur.</w:t>
                      </w:r>
                    </w:p>
                    <w:p w:rsidR="00375FCE" w:rsidRPr="00F80685" w:rsidRDefault="00FF7487" w:rsidP="00F80685">
                      <w:pPr>
                        <w:pStyle w:val="Geenafstand"/>
                      </w:pPr>
                    </w:p>
                    <w:p w:rsidR="00375FCE" w:rsidRDefault="004A7B3D" w:rsidP="00375FCE">
                      <w:pPr>
                        <w:pStyle w:val="RedBullets"/>
                        <w:numPr>
                          <w:ilvl w:val="0"/>
                          <w:numId w:val="0"/>
                        </w:numPr>
                        <w:rPr>
                          <w:rFonts w:asciiTheme="minorHAnsi" w:hAnsiTheme="minorHAnsi" w:cstheme="minorHAnsi"/>
                          <w:b/>
                          <w:bCs/>
                          <w:lang w:val="nl-NL"/>
                        </w:rPr>
                      </w:pPr>
                      <w:r w:rsidRPr="00F80685">
                        <w:rPr>
                          <w:rFonts w:asciiTheme="minorHAnsi" w:hAnsiTheme="minorHAnsi" w:cstheme="minorHAnsi"/>
                          <w:b/>
                          <w:bCs/>
                          <w:lang w:val="nl-NL"/>
                        </w:rPr>
                        <w:t>Interpretatie:</w:t>
                      </w:r>
                    </w:p>
                    <w:p w:rsidR="00F80685" w:rsidRPr="00F80685" w:rsidRDefault="00F80685" w:rsidP="00F80685">
                      <w:pPr>
                        <w:pStyle w:val="Geenafstand"/>
                      </w:pPr>
                    </w:p>
                    <w:p w:rsidR="00375FCE" w:rsidRPr="00F80685" w:rsidRDefault="004A7B3D" w:rsidP="00375FCE">
                      <w:pPr>
                        <w:pStyle w:val="RedBullets"/>
                        <w:numPr>
                          <w:ilvl w:val="0"/>
                          <w:numId w:val="0"/>
                        </w:numPr>
                        <w:rPr>
                          <w:rFonts w:asciiTheme="minorHAnsi" w:hAnsiTheme="minorHAnsi" w:cstheme="minorHAnsi"/>
                          <w:i/>
                          <w:sz w:val="22"/>
                          <w:szCs w:val="22"/>
                        </w:rPr>
                      </w:pPr>
                      <w:r w:rsidRPr="00F80685">
                        <w:rPr>
                          <w:rFonts w:asciiTheme="minorHAnsi" w:hAnsiTheme="minorHAnsi" w:cstheme="minorHAnsi"/>
                          <w:i/>
                          <w:iCs/>
                          <w:sz w:val="22"/>
                          <w:szCs w:val="22"/>
                          <w:lang w:val="nl-NL"/>
                        </w:rPr>
                        <w:t>Organisatorische onafhankelijkheid kan op adequate wijze worden bereikt indien het hoofd van de internal auditfunctie functioneel rapporteert aan het bestuur. Voorbeelden van functionele rapportage aan het bestuur zijn onder meer dat het bestuur:</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Het internal auditcharter goedkeurt.</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Het op risico's gebaseerde internal auditplan goedkeurt.</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Het budget en middelenplan voor de internal auditing goedkeurt.</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Mededelingen ontvangt van het hoofd van de internal auditfunctie over de uitvoering van de internal auditing in het licht van het plan en overige aangelegenheden.</w:t>
                      </w:r>
                      <w:r w:rsidRPr="00F80685">
                        <w:rPr>
                          <w:rFonts w:asciiTheme="minorHAnsi" w:hAnsiTheme="minorHAnsi" w:cstheme="minorHAnsi"/>
                          <w:sz w:val="22"/>
                          <w:szCs w:val="22"/>
                          <w:lang w:val="nl-NL"/>
                        </w:rPr>
                        <w:t xml:space="preserve"> </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Beslissingen met betrekking tot de benoeming en het ontslag van het hoofd van de internal auditfunctie goedkeurt.</w:t>
                      </w:r>
                    </w:p>
                    <w:p w:rsidR="00375FCE" w:rsidRPr="00F80685" w:rsidRDefault="004A7B3D" w:rsidP="00375FCE">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De beloning van het hoofd van de internal auditfunctie goedkeurt.</w:t>
                      </w:r>
                    </w:p>
                    <w:p w:rsidR="004B2AC5" w:rsidRPr="00F80685" w:rsidRDefault="004A7B3D" w:rsidP="00F80685">
                      <w:pPr>
                        <w:pStyle w:val="RedBullets"/>
                        <w:rPr>
                          <w:rFonts w:asciiTheme="minorHAnsi" w:hAnsiTheme="minorHAnsi" w:cstheme="minorHAnsi"/>
                          <w:i/>
                          <w:sz w:val="22"/>
                          <w:szCs w:val="22"/>
                        </w:rPr>
                      </w:pPr>
                      <w:r w:rsidRPr="00F80685">
                        <w:rPr>
                          <w:rFonts w:asciiTheme="minorHAnsi" w:hAnsiTheme="minorHAnsi" w:cstheme="minorHAnsi"/>
                          <w:i/>
                          <w:iCs/>
                          <w:sz w:val="22"/>
                          <w:szCs w:val="22"/>
                          <w:lang w:val="nl-NL"/>
                        </w:rPr>
                        <w:t>De juiste informatie opvraagt bij het management en het hoofd van de internal auditfunctie om te bepalen of er ongewenste beperkingen bestaan ten aanzien van de reikwijdte en de middelen.</w:t>
                      </w:r>
                    </w:p>
                    <w:p w:rsidR="004B2AC5" w:rsidRPr="00F80685" w:rsidRDefault="004A7B3D" w:rsidP="004B2AC5">
                      <w:pPr>
                        <w:pStyle w:val="RedBullets"/>
                        <w:numPr>
                          <w:ilvl w:val="0"/>
                          <w:numId w:val="0"/>
                        </w:numPr>
                        <w:ind w:left="634"/>
                        <w:jc w:val="right"/>
                        <w:rPr>
                          <w:rFonts w:asciiTheme="minorHAnsi" w:hAnsiTheme="minorHAnsi" w:cstheme="minorHAnsi"/>
                          <w:sz w:val="22"/>
                          <w:szCs w:val="22"/>
                        </w:rPr>
                      </w:pPr>
                      <w:r w:rsidRPr="00F80685">
                        <w:rPr>
                          <w:rFonts w:asciiTheme="minorHAnsi" w:hAnsiTheme="minorHAnsi" w:cstheme="minorHAnsi"/>
                          <w:sz w:val="22"/>
                          <w:szCs w:val="22"/>
                          <w:lang w:val="nl-NL"/>
                        </w:rPr>
                        <w:t xml:space="preserve">Herziene </w:t>
                      </w:r>
                      <w:r w:rsidRPr="00FF7487">
                        <w:rPr>
                          <w:rFonts w:asciiTheme="minorHAnsi" w:hAnsiTheme="minorHAnsi" w:cstheme="minorHAnsi"/>
                          <w:i/>
                          <w:sz w:val="22"/>
                          <w:szCs w:val="22"/>
                          <w:lang w:val="nl-NL"/>
                        </w:rPr>
                        <w:t>Standaarden</w:t>
                      </w:r>
                      <w:r w:rsidRPr="00F80685">
                        <w:rPr>
                          <w:rFonts w:asciiTheme="minorHAnsi" w:hAnsiTheme="minorHAnsi" w:cstheme="minorHAnsi"/>
                          <w:sz w:val="22"/>
                          <w:szCs w:val="22"/>
                          <w:lang w:val="nl-NL"/>
                        </w:rPr>
                        <w:t xml:space="preserve"> die per 1 januari 2017 van kracht zijn</w:t>
                      </w:r>
                      <w:bookmarkStart w:id="1" w:name="_GoBack"/>
                      <w:bookmarkEnd w:id="1"/>
                      <w:r w:rsidRPr="00F80685">
                        <w:rPr>
                          <w:rFonts w:asciiTheme="minorHAnsi" w:hAnsiTheme="minorHAnsi" w:cstheme="minorHAnsi"/>
                          <w:sz w:val="22"/>
                          <w:szCs w:val="22"/>
                          <w:lang w:val="nl-NL"/>
                        </w:rPr>
                        <w:t xml:space="preserve"> </w:t>
                      </w:r>
                    </w:p>
                    <w:p w:rsidR="004B2AC5" w:rsidRPr="00F80685" w:rsidRDefault="00FF7487" w:rsidP="004B2AC5">
                      <w:pPr>
                        <w:pStyle w:val="RedBullets"/>
                        <w:numPr>
                          <w:ilvl w:val="0"/>
                          <w:numId w:val="0"/>
                        </w:numPr>
                        <w:ind w:left="994"/>
                        <w:rPr>
                          <w:rFonts w:asciiTheme="minorHAnsi" w:hAnsiTheme="minorHAnsi" w:cstheme="minorHAnsi"/>
                          <w:i/>
                          <w:sz w:val="22"/>
                          <w:szCs w:val="22"/>
                        </w:rPr>
                      </w:pPr>
                    </w:p>
                  </w:txbxContent>
                </v:textbox>
                <w10:wrap type="square" anchorx="margin" anchory="margin"/>
              </v:shape>
            </w:pict>
          </mc:Fallback>
        </mc:AlternateContent>
      </w:r>
      <w:r w:rsidRPr="00F80685">
        <w:rPr>
          <w:rFonts w:asciiTheme="minorHAnsi" w:hAnsiTheme="minorHAnsi" w:cstheme="minorHAnsi"/>
          <w:noProof/>
          <w:lang w:val="nl-NL" w:eastAsia="nl-NL"/>
        </w:rPr>
        <mc:AlternateContent>
          <mc:Choice Requires="wps">
            <w:drawing>
              <wp:anchor distT="0" distB="0" distL="114300" distR="114300" simplePos="0" relativeHeight="251660288" behindDoc="0" locked="0" layoutInCell="1" allowOverlap="1">
                <wp:simplePos x="0" y="0"/>
                <wp:positionH relativeFrom="page">
                  <wp:posOffset>2514600</wp:posOffset>
                </wp:positionH>
                <wp:positionV relativeFrom="page">
                  <wp:posOffset>914400</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61C77" w:rsidRPr="00E6381B" w:rsidRDefault="004A7B3D"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1110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Text Box 6" o:spid="_x0000_s1027" type="#_x0000_t202" style="position:absolute;margin-left:198pt;margin-top:1in;width:342pt;height:126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" filled="f" stroked="f">
                <v:textbox>
                  <w:txbxContent>
                    <w:p w:rsidR="00B61C77" w:rsidRPr="00E6381B" w:rsidRDefault="004A7B3D"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1110</w:t>
                      </w:r>
                    </w:p>
                  </w:txbxContent>
                </v:textbox>
                <w10:wrap type="square" anchorx="page" anchory="page"/>
              </v:shape>
            </w:pict>
          </mc:Fallback>
        </mc:AlternateContent>
      </w:r>
    </w:p>
    <w:p w:rsidR="00AF61BE" w:rsidRPr="00F80685" w:rsidRDefault="004A7B3D" w:rsidP="00AF61BE">
      <w:pPr>
        <w:pStyle w:val="TemplateHeadline"/>
        <w:rPr>
          <w:rFonts w:asciiTheme="minorHAnsi" w:hAnsiTheme="minorHAnsi" w:cstheme="minorHAnsi"/>
        </w:rPr>
      </w:pPr>
      <w:r w:rsidRPr="00F80685">
        <w:rPr>
          <w:rFonts w:asciiTheme="minorHAnsi" w:hAnsiTheme="minorHAnsi" w:cstheme="minorHAnsi"/>
          <w:lang w:val="nl-NL"/>
        </w:rPr>
        <w:lastRenderedPageBreak/>
        <w:t xml:space="preserve">Inleiding </w:t>
      </w:r>
    </w:p>
    <w:p w:rsidR="00375FCE" w:rsidRPr="00F80685" w:rsidRDefault="004A7B3D" w:rsidP="00375FCE">
      <w:pPr>
        <w:pStyle w:val="TemplateBodyText"/>
        <w:rPr>
          <w:rFonts w:asciiTheme="minorHAnsi" w:hAnsiTheme="minorHAnsi" w:cstheme="minorHAnsi"/>
          <w:sz w:val="22"/>
          <w:szCs w:val="22"/>
        </w:rPr>
      </w:pPr>
      <w:r w:rsidRPr="00F80685">
        <w:rPr>
          <w:rFonts w:asciiTheme="minorHAnsi" w:hAnsiTheme="minorHAnsi" w:cstheme="minorHAnsi"/>
          <w:sz w:val="22"/>
          <w:szCs w:val="22"/>
          <w:lang w:val="nl-NL"/>
        </w:rPr>
        <w:t xml:space="preserve">Standaard 1110 schrijft voor dat het hoofd van de internal auditfunctie (Chief Audit Executive (CAE)) moet rapporteren aan een niveau binnen de organisatie dat het mogelijk maakt dat de internal auditfunctie haar verantwoordelijkheid kan dragen. Daarvoor is het nodig de positie van de internal auditfunctie binnen de organisatie, het toezicht op deze functie en de rapportagelijnen van de functie in aanmerking te nemen om de onafhankelijkheid van de functie binnen de organisatie te waarborgen. </w:t>
      </w:r>
    </w:p>
    <w:p w:rsidR="00375FCE" w:rsidRPr="00F80685" w:rsidRDefault="004A7B3D" w:rsidP="00375FCE">
      <w:pPr>
        <w:pStyle w:val="TemplateBodyText"/>
        <w:rPr>
          <w:rFonts w:asciiTheme="minorHAnsi" w:hAnsiTheme="minorHAnsi" w:cstheme="minorHAnsi"/>
          <w:sz w:val="22"/>
          <w:szCs w:val="22"/>
        </w:rPr>
      </w:pPr>
      <w:r w:rsidRPr="00F80685">
        <w:rPr>
          <w:rFonts w:asciiTheme="minorHAnsi" w:hAnsiTheme="minorHAnsi" w:cstheme="minorHAnsi"/>
          <w:sz w:val="22"/>
          <w:szCs w:val="22"/>
          <w:lang w:val="nl-NL"/>
        </w:rPr>
        <w:t>De CAE kan de positie van de internal auditfunctie binnen de organisatie, de rapportagerelaties van de CAE of de aard van het toezicht door het bestuur of senior management echter niet autonoom bepalen; de CAE heeft de hulp van het bestuur en senior management nodig om deze zaken effectief aan te pakken. Gewoonlijk komen de CAE, het bestuur en het senior management tot een gezamenlijke visie op de verantwoordelijkheden, bevoegdheden en verwachtingen van de internal auditfunctie, en de rol van het bestuur en senior management in het toezicht op de internal auditfunctie. In het algemeen worden de gemaakte afspraken over de positie binnen de organisatie en de rapportagelijnen gedocumenteerd in het internal auditcharter.</w:t>
      </w:r>
    </w:p>
    <w:p w:rsidR="00A04BF7" w:rsidRPr="00F80685" w:rsidRDefault="004A7B3D" w:rsidP="00375FCE">
      <w:pPr>
        <w:pStyle w:val="TemplateBodyText"/>
        <w:rPr>
          <w:rFonts w:asciiTheme="minorHAnsi" w:hAnsiTheme="minorHAnsi" w:cstheme="minorHAnsi"/>
          <w:sz w:val="22"/>
          <w:szCs w:val="22"/>
        </w:rPr>
      </w:pPr>
      <w:r w:rsidRPr="00F80685">
        <w:rPr>
          <w:rFonts w:asciiTheme="minorHAnsi" w:hAnsiTheme="minorHAnsi" w:cstheme="minorHAnsi"/>
          <w:sz w:val="22"/>
          <w:szCs w:val="22"/>
          <w:lang w:val="nl-NL"/>
        </w:rPr>
        <w:t>Het kan ook nuttig zijn dat de CAE bekend is met de regelgeving ten aanzien van de positie van de internal auditfunctie binnen de organisatie en de rapportagelijnen van de CAE.</w:t>
      </w:r>
      <w:r w:rsidRPr="00F80685">
        <w:rPr>
          <w:rFonts w:asciiTheme="minorHAnsi" w:hAnsiTheme="minorHAnsi" w:cstheme="minorHAnsi"/>
          <w:sz w:val="22"/>
          <w:szCs w:val="22"/>
          <w:lang w:val="nl-NL"/>
        </w:rPr>
        <w:br/>
      </w:r>
    </w:p>
    <w:p w:rsidR="00A04BF7" w:rsidRPr="00F80685" w:rsidRDefault="004A7B3D" w:rsidP="00A04BF7">
      <w:pPr>
        <w:pStyle w:val="TemplateHeadline"/>
        <w:rPr>
          <w:rFonts w:asciiTheme="minorHAnsi" w:hAnsiTheme="minorHAnsi" w:cstheme="minorHAnsi"/>
        </w:rPr>
      </w:pPr>
      <w:r w:rsidRPr="00F80685">
        <w:rPr>
          <w:rFonts w:asciiTheme="minorHAnsi" w:hAnsiTheme="minorHAnsi" w:cstheme="minorHAnsi"/>
          <w:lang w:val="nl-NL"/>
        </w:rPr>
        <w:t>Overwegingen bij de implementatie</w:t>
      </w:r>
    </w:p>
    <w:p w:rsidR="00A04BF7" w:rsidRPr="00F80685" w:rsidRDefault="004A7B3D" w:rsidP="00A04BF7">
      <w:pPr>
        <w:pStyle w:val="TemplateBodyText"/>
        <w:rPr>
          <w:rFonts w:asciiTheme="minorHAnsi" w:hAnsiTheme="minorHAnsi" w:cstheme="minorHAnsi"/>
          <w:sz w:val="22"/>
          <w:szCs w:val="22"/>
        </w:rPr>
      </w:pPr>
      <w:r w:rsidRPr="00F80685">
        <w:rPr>
          <w:rFonts w:asciiTheme="minorHAnsi" w:hAnsiTheme="minorHAnsi" w:cstheme="minorHAnsi"/>
          <w:sz w:val="22"/>
          <w:szCs w:val="22"/>
          <w:lang w:val="nl-NL"/>
        </w:rPr>
        <w:t xml:space="preserve">Zoals gezegd werkt de CAE samen met het bestuur en het senior management om de positie van de internal auditfunctie binnen de organisatie te bepalen, inclusief de rapportagelijnen van de CAE. Om de organisatorische onafhankelijkheid van de internal auditfunctie effectief te waarborgen, heeft de CAE een rechtstreekse functionele rapportagelijn naar het bestuur. In het algemeen heeft de CAE daarnaast een hiërarchische rapportagelijn (ook wel 'stippellijn' genoemd) naar een lid van het senior management. </w:t>
      </w:r>
    </w:p>
    <w:p w:rsidR="00A04BF7" w:rsidRPr="00F80685" w:rsidRDefault="004A7B3D" w:rsidP="00A04BF7">
      <w:pPr>
        <w:pStyle w:val="TemplateBodyText"/>
        <w:rPr>
          <w:rFonts w:asciiTheme="minorHAnsi" w:hAnsiTheme="minorHAnsi" w:cstheme="minorHAnsi"/>
          <w:sz w:val="22"/>
          <w:szCs w:val="22"/>
        </w:rPr>
      </w:pPr>
      <w:r w:rsidRPr="00F80685">
        <w:rPr>
          <w:rFonts w:asciiTheme="minorHAnsi" w:hAnsiTheme="minorHAnsi" w:cstheme="minorHAnsi"/>
          <w:sz w:val="22"/>
          <w:szCs w:val="22"/>
          <w:lang w:val="nl-NL"/>
        </w:rPr>
        <w:t xml:space="preserve">De functionele rapportagelijn naar het bestuur geeft de CAE rechtstreekse toegang tot het bestuur voor gevoelige zaken en zorgt ervoor dat de CAE voldoende status heeft binnen de organisatie. Dit zorgt er tevens voor dat de CAE onbeperkt toegang heeft tot het bestuur, dat doorgaans het hoogste </w:t>
      </w:r>
      <w:r w:rsidRPr="00F80685">
        <w:rPr>
          <w:rFonts w:asciiTheme="minorHAnsi" w:hAnsiTheme="minorHAnsi" w:cstheme="minorHAnsi"/>
          <w:sz w:val="22"/>
          <w:szCs w:val="22"/>
          <w:lang w:val="nl-NL"/>
        </w:rPr>
        <w:lastRenderedPageBreak/>
        <w:t xml:space="preserve">governanceniveau in de organisatie is. </w:t>
      </w:r>
    </w:p>
    <w:p w:rsidR="00295477" w:rsidRPr="00F80685" w:rsidRDefault="004A7B3D" w:rsidP="00A04BF7">
      <w:pPr>
        <w:pStyle w:val="TemplateBodyText"/>
        <w:rPr>
          <w:rFonts w:asciiTheme="minorHAnsi" w:hAnsiTheme="minorHAnsi" w:cstheme="minorHAnsi"/>
          <w:sz w:val="22"/>
          <w:szCs w:val="22"/>
        </w:rPr>
      </w:pPr>
      <w:r w:rsidRPr="00F80685">
        <w:rPr>
          <w:rFonts w:asciiTheme="minorHAnsi" w:hAnsiTheme="minorHAnsi" w:cstheme="minorHAnsi"/>
          <w:sz w:val="22"/>
          <w:szCs w:val="22"/>
          <w:lang w:val="nl-NL"/>
        </w:rPr>
        <w:t xml:space="preserve">Functioneel toezicht vereist dat het bestuur de juiste werkomstandigheden creëert die de internal auditfunctie in staat stellen om onafhankelijk en effectief te opereren. Zoals gezegd heeft het bestuur de verantwoordelijkheid voor de goedkeuring van het internal auditcharter, internal auditplan, budget en middelenplan, alsmede de beoordeling en beloning van de CAE en de aanstelling en het ontslag van de CAE. Daarnaast houdt het bestuur toezicht op het vermogen van de internal auditfunctie om onafhankelijk te opereren. Hiertoe stelt het bestuur vragen aan de CAE en leden van het management over beperkingen in de reikwijdte of in de beschikbare middelen, of andere zaken die de internal auditfunctie onder druk zetten of belemmeren. </w:t>
      </w:r>
    </w:p>
    <w:p w:rsidR="00A04BF7" w:rsidRPr="00F80685" w:rsidRDefault="004A7B3D" w:rsidP="00A04BF7">
      <w:pPr>
        <w:pStyle w:val="TemplateBodyText"/>
        <w:rPr>
          <w:rFonts w:asciiTheme="minorHAnsi" w:hAnsiTheme="minorHAnsi" w:cstheme="minorHAnsi"/>
          <w:sz w:val="22"/>
          <w:szCs w:val="22"/>
        </w:rPr>
      </w:pPr>
      <w:r w:rsidRPr="00F80685">
        <w:rPr>
          <w:rFonts w:asciiTheme="minorHAnsi" w:hAnsiTheme="minorHAnsi" w:cstheme="minorHAnsi"/>
          <w:sz w:val="22"/>
          <w:szCs w:val="22"/>
          <w:lang w:val="nl-NL"/>
        </w:rPr>
        <w:t xml:space="preserve">Als het bestuur deze belangrijke verantwoordelijkheden op het vlak van functioneel toezicht niet op zich neemt, kan de CAE het bestuur wijzen op Standaard 1110 en de aanbevolen governancepraktijken— waaronder de verantwoordelijkheden van het bestuur — om zo op de langere termijn een betere functionele relatie te bevorderen. </w:t>
      </w:r>
    </w:p>
    <w:p w:rsidR="00A04BF7" w:rsidRPr="00F80685" w:rsidRDefault="004A7B3D" w:rsidP="00A04BF7">
      <w:pPr>
        <w:pStyle w:val="TemplateBodyText"/>
        <w:rPr>
          <w:rFonts w:asciiTheme="minorHAnsi" w:hAnsiTheme="minorHAnsi" w:cstheme="minorHAnsi"/>
          <w:sz w:val="22"/>
          <w:szCs w:val="22"/>
        </w:rPr>
      </w:pPr>
      <w:r w:rsidRPr="00F80685">
        <w:rPr>
          <w:rFonts w:asciiTheme="minorHAnsi" w:hAnsiTheme="minorHAnsi" w:cstheme="minorHAnsi"/>
          <w:sz w:val="22"/>
          <w:szCs w:val="22"/>
          <w:lang w:val="nl-NL"/>
        </w:rPr>
        <w:t xml:space="preserve">Om toezicht door het bestuur te faciliteren, informeert de CAE het bestuur periodiek over het functioneren van de internal auditfunctie, meestal in kwartaalvergaderingen van het bestuur. De CAE is vaak betrokken bij het opstellen van de vergaderagenda's van het bestuur en kan zo voldoende tijd inplannen om het functioneren van de internal auditfunctie ten opzichte van haar planning te bepreken, alsmede andere zaken, zoals belangrijke bevindingen of opkomende risico's die de aandacht van het bestuur vereisen. Om te waarborgen dat de organisatorische onafhankelijkheid conform Standaard 1110 minsten eenmaal per jaar wordt besproken, maakt de CAE dit vaak tot een jaarlijks vast agendapunt van een specifieke bestuursvergadering. </w:t>
      </w:r>
    </w:p>
    <w:p w:rsidR="00AF61BE" w:rsidRPr="00F80685" w:rsidRDefault="004A7B3D" w:rsidP="00A04BF7">
      <w:pPr>
        <w:pStyle w:val="TemplateBodyText"/>
        <w:rPr>
          <w:rFonts w:asciiTheme="minorHAnsi" w:hAnsiTheme="minorHAnsi" w:cstheme="minorHAnsi"/>
          <w:sz w:val="22"/>
          <w:szCs w:val="22"/>
        </w:rPr>
      </w:pPr>
      <w:r w:rsidRPr="00F80685">
        <w:rPr>
          <w:rFonts w:asciiTheme="minorHAnsi" w:hAnsiTheme="minorHAnsi" w:cstheme="minorHAnsi"/>
          <w:sz w:val="22"/>
          <w:szCs w:val="22"/>
          <w:lang w:val="nl-NL"/>
        </w:rPr>
        <w:t>In het algemeen heeft de CAE daarnaast een hiërarchische rapportagelijn naar het senior management; ook dit draagt ertoe bij dat de internal auditfunctie de status en het gezag heeft die vereist zijn om haar verantwoordelijkheden te vervullen. Zo rapporteert de CAE gewoonlijk niet aan een controller, een accounting manager of een medior manager met functionele verantwoordelijkheid. Om de status en geloofwaardigheid van de CAE te verhogen, raadt het IIA aan dat de CAE hiërarchisch rapporteert aan de Chief Executive Officer (CEO), zodat het duidelijk is dat de CAE een senior rol vervult en het gezag heeft om taken onbelemmerd te vervullen.</w:t>
      </w:r>
    </w:p>
    <w:p w:rsidR="00A04BF7" w:rsidRPr="00F80685" w:rsidRDefault="004A7B3D" w:rsidP="00A04BF7">
      <w:pPr>
        <w:pStyle w:val="TemplateHeadline"/>
        <w:rPr>
          <w:rFonts w:asciiTheme="minorHAnsi" w:hAnsiTheme="minorHAnsi" w:cstheme="minorHAnsi"/>
        </w:rPr>
      </w:pPr>
      <w:r w:rsidRPr="00F80685">
        <w:rPr>
          <w:rFonts w:asciiTheme="minorHAnsi" w:hAnsiTheme="minorHAnsi" w:cstheme="minorHAnsi"/>
          <w:lang w:val="nl-NL"/>
        </w:rPr>
        <w:lastRenderedPageBreak/>
        <w:t>Overwegingen bij het aantonen van de naleving</w:t>
      </w:r>
    </w:p>
    <w:p w:rsidR="00A04BF7" w:rsidRPr="00F80685" w:rsidRDefault="004A7B3D" w:rsidP="00A04BF7">
      <w:pPr>
        <w:pStyle w:val="TemplateBodyText"/>
        <w:rPr>
          <w:rFonts w:asciiTheme="minorHAnsi" w:hAnsiTheme="minorHAnsi" w:cstheme="minorHAnsi"/>
          <w:sz w:val="22"/>
          <w:szCs w:val="22"/>
        </w:rPr>
      </w:pPr>
      <w:r w:rsidRPr="00F80685">
        <w:rPr>
          <w:rFonts w:asciiTheme="minorHAnsi" w:hAnsiTheme="minorHAnsi" w:cstheme="minorHAnsi"/>
          <w:sz w:val="22"/>
          <w:szCs w:val="22"/>
          <w:lang w:val="nl-NL"/>
        </w:rPr>
        <w:t>De naleving van Standaard 1110 kan worden aangetoond door diverse documenten, waaronder het internal auditcharter en het charter van de auditcommissie, dat de toezichthoudende taken van de auditcommissie beschrijft. In de functieomschrijving van de CAE worden doorgaans de rapportagerelaties en het toezicht door het bestuur of de auditcommissie vermeld. De documentatie van de aanstelling van de CAE, indien beschikbaar, vermeldt mogelijk door wie het sollicitatiegesprek met de CAE is gevoerd en wie het aanstellingsbesluit heeft genomen. Daarnaast kan de naleving blijken uit een beleidshandboek van de internal auditfunctie met voorschriften over zaken als onafhankelijkheid en communicatie met het bestuur, of uit een organogram met rapportageverantwoordelijkheden. Uit bestuursverslagen en notulen en agenda's van bestuursvergaderingen kan blijken dat de internal auditfunctie passend heeft gecommuniceerd over zaken als het internal auditplan en het budget en functioneren van de functie, alsmede de actuele mate van organisatorische onafhankelijkheid.</w:t>
      </w:r>
    </w:p>
    <w:p w:rsidR="006050F3" w:rsidRPr="00F80685" w:rsidRDefault="004A7B3D" w:rsidP="00B61C77">
      <w:pPr>
        <w:pStyle w:val="TemplateHeadline"/>
        <w:rPr>
          <w:rFonts w:asciiTheme="minorHAnsi" w:hAnsiTheme="minorHAnsi" w:cstheme="minorHAnsi"/>
        </w:rPr>
      </w:pPr>
      <w:r w:rsidRPr="00F80685">
        <w:rPr>
          <w:rFonts w:asciiTheme="minorHAnsi" w:hAnsiTheme="minorHAnsi" w:cstheme="minorHAnsi"/>
          <w:noProof/>
          <w:lang w:val="nl-NL" w:eastAsia="nl-NL"/>
        </w:rPr>
        <w:lastRenderedPageBreak/>
        <mc:AlternateContent>
          <mc:Choice Requires="wps">
            <w:drawing>
              <wp:anchor distT="457200" distB="274320" distL="114300" distR="114300" simplePos="0" relativeHeight="251662336" behindDoc="0" locked="0" layoutInCell="1" allowOverlap="1">
                <wp:simplePos x="0" y="0"/>
                <wp:positionH relativeFrom="margin">
                  <wp:posOffset>0</wp:posOffset>
                </wp:positionH>
                <wp:positionV relativeFrom="paragraph">
                  <wp:posOffset>2695575</wp:posOffset>
                </wp:positionV>
                <wp:extent cx="6400800" cy="51530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5302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A7B3D" w:rsidRPr="00E6381B" w:rsidRDefault="004A7B3D" w:rsidP="004A7B3D">
                            <w:pPr>
                              <w:pStyle w:val="BoilerplateHeadline"/>
                            </w:pPr>
                            <w:r w:rsidRPr="00E6381B">
                              <w:rPr>
                                <w:lang w:val="nl-NL"/>
                              </w:rPr>
                              <w:t xml:space="preserve">Over het IIA </w:t>
                            </w:r>
                          </w:p>
                          <w:p w:rsidR="004A7B3D" w:rsidRPr="001A0D5D" w:rsidRDefault="004A7B3D" w:rsidP="004A7B3D">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4A7B3D" w:rsidRPr="00E6381B" w:rsidRDefault="004A7B3D" w:rsidP="004A7B3D">
                            <w:pPr>
                              <w:pStyle w:val="BoilerplateHeadline"/>
                            </w:pPr>
                            <w:r w:rsidRPr="00E6381B">
                              <w:rPr>
                                <w:lang w:val="nl-NL"/>
                              </w:rPr>
                              <w:t>Over de Implementatierichtlijnen</w:t>
                            </w:r>
                          </w:p>
                          <w:p w:rsidR="004A7B3D" w:rsidRDefault="004A7B3D" w:rsidP="004A7B3D">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4A7B3D" w:rsidRDefault="004A7B3D" w:rsidP="004A7B3D">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4A7B3D" w:rsidRDefault="004A7B3D" w:rsidP="004A7B3D">
                            <w:pPr>
                              <w:pStyle w:val="BoilerplateBodyText"/>
                              <w:ind w:right="60"/>
                            </w:pPr>
                            <w:r>
                              <w:rPr>
                                <w:lang w:val="nl-NL"/>
                              </w:rPr>
                              <w:t xml:space="preserve">Andere gezaghebbende richtlijnen van het IIA kunt u vinden op onze websites: www.globaliia.org/standards-guidance en www.theiia.org/guidance. </w:t>
                            </w:r>
                          </w:p>
                          <w:p w:rsidR="004A7B3D" w:rsidRDefault="004A7B3D" w:rsidP="004A7B3D">
                            <w:pPr>
                              <w:pStyle w:val="BoilerplateHeadline"/>
                            </w:pPr>
                            <w:r>
                              <w:rPr>
                                <w:lang w:val="nl-NL"/>
                              </w:rPr>
                              <w:t>Disclaimer</w:t>
                            </w:r>
                          </w:p>
                          <w:p w:rsidR="004A7B3D" w:rsidRDefault="004A7B3D" w:rsidP="004A7B3D">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4A7B3D" w:rsidRDefault="004A7B3D" w:rsidP="004A7B3D">
                            <w:pPr>
                              <w:pStyle w:val="BoilerplateHeadline"/>
                              <w:spacing w:after="60"/>
                            </w:pPr>
                            <w:r>
                              <w:rPr>
                                <w:lang w:val="nl-NL"/>
                              </w:rPr>
                              <w:t>Auteursrecht</w:t>
                            </w:r>
                          </w:p>
                          <w:p w:rsidR="004A7B3D" w:rsidRDefault="004A7B3D" w:rsidP="004A7B3D">
                            <w:pPr>
                              <w:pStyle w:val="BoilerplateBodyText"/>
                            </w:pPr>
                            <w:r>
                              <w:rPr>
                                <w:lang w:val="nl-NL"/>
                              </w:rPr>
                              <w:t>Copyright</w:t>
                            </w:r>
                            <w:r>
                              <w:rPr>
                                <w:vertAlign w:val="superscript"/>
                                <w:lang w:val="nl-NL"/>
                              </w:rPr>
                              <w:t>®</w:t>
                            </w:r>
                            <w:r>
                              <w:rPr>
                                <w:lang w:val="nl-NL"/>
                              </w:rPr>
                              <w:t xml:space="preserve"> 2016 </w:t>
                            </w:r>
                            <w:r>
                              <w:rPr>
                                <w:i/>
                                <w:iCs/>
                                <w:lang w:val="nl-NL"/>
                              </w:rPr>
                              <w:t>The Institute of Internal Auditors.</w:t>
                            </w:r>
                            <w:r w:rsidR="005F6540">
                              <w:rPr>
                                <w:i/>
                                <w:iCs/>
                                <w:lang w:val="nl-NL"/>
                              </w:rPr>
                              <w:t xml:space="preserve"> </w:t>
                            </w:r>
                            <w:r>
                              <w:rPr>
                                <w:lang w:val="nl-NL"/>
                              </w:rPr>
                              <w:t xml:space="preserve">Toestemming voor reproductie van deze publicatie kunt u per e-mail aanvragen via guidance@theiia.org. </w:t>
                            </w:r>
                          </w:p>
                          <w:p w:rsidR="00AF61BE" w:rsidRPr="00E6381B" w:rsidRDefault="00FF7487" w:rsidP="00AF61BE"/>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0;margin-top:212.25pt;width:7in;height:405.75pt;z-index:251662336;visibility:visible;mso-wrap-style:square;mso-height-percent:0;mso-wrap-distance-left:9pt;mso-wrap-distance-top:36pt;mso-wrap-distance-right:9pt;mso-wrap-distance-bottom:21.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" fillcolor="#d8d8d8 [2732]" stroked="f">
                <v:textbox inset="14.4pt,23.76pt,14.4pt,23.76pt">
                  <w:txbxContent>
                    <w:p w:rsidR="004A7B3D" w:rsidRPr="00E6381B" w:rsidRDefault="004A7B3D" w:rsidP="004A7B3D">
                      <w:pPr>
                        <w:pStyle w:val="BoilerplateHeadline"/>
                      </w:pPr>
                      <w:r w:rsidRPr="00E6381B">
                        <w:rPr>
                          <w:lang w:val="nl-NL"/>
                        </w:rPr>
                        <w:t xml:space="preserve">Over het IIA </w:t>
                      </w:r>
                    </w:p>
                    <w:p w:rsidR="004A7B3D" w:rsidRPr="001A0D5D" w:rsidRDefault="004A7B3D" w:rsidP="004A7B3D">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4A7B3D" w:rsidRPr="00E6381B" w:rsidRDefault="004A7B3D" w:rsidP="004A7B3D">
                      <w:pPr>
                        <w:pStyle w:val="BoilerplateHeadline"/>
                      </w:pPr>
                      <w:r w:rsidRPr="00E6381B">
                        <w:rPr>
                          <w:lang w:val="nl-NL"/>
                        </w:rPr>
                        <w:t>Over de Implementatierichtlijnen</w:t>
                      </w:r>
                    </w:p>
                    <w:p w:rsidR="004A7B3D" w:rsidRDefault="004A7B3D" w:rsidP="004A7B3D">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4A7B3D" w:rsidRDefault="004A7B3D" w:rsidP="004A7B3D">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4A7B3D" w:rsidRDefault="004A7B3D" w:rsidP="004A7B3D">
                      <w:pPr>
                        <w:pStyle w:val="BoilerplateBodyText"/>
                        <w:ind w:right="60"/>
                      </w:pPr>
                      <w:r>
                        <w:rPr>
                          <w:lang w:val="nl-NL"/>
                        </w:rPr>
                        <w:t xml:space="preserve">Andere gezaghebbende richtlijnen van het IIA kunt u vinden op onze websites: www.globaliia.org/standards-guidance en www.theiia.org/guidance. </w:t>
                      </w:r>
                    </w:p>
                    <w:p w:rsidR="004A7B3D" w:rsidRDefault="004A7B3D" w:rsidP="004A7B3D">
                      <w:pPr>
                        <w:pStyle w:val="BoilerplateHeadline"/>
                      </w:pPr>
                      <w:r>
                        <w:rPr>
                          <w:lang w:val="nl-NL"/>
                        </w:rPr>
                        <w:t>Disclaimer</w:t>
                      </w:r>
                    </w:p>
                    <w:p w:rsidR="004A7B3D" w:rsidRDefault="004A7B3D" w:rsidP="004A7B3D">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4A7B3D" w:rsidRDefault="004A7B3D" w:rsidP="004A7B3D">
                      <w:pPr>
                        <w:pStyle w:val="BoilerplateHeadline"/>
                        <w:spacing w:after="60"/>
                      </w:pPr>
                      <w:r>
                        <w:rPr>
                          <w:lang w:val="nl-NL"/>
                        </w:rPr>
                        <w:t>Auteursrecht</w:t>
                      </w:r>
                    </w:p>
                    <w:p w:rsidR="004A7B3D" w:rsidRDefault="004A7B3D" w:rsidP="004A7B3D">
                      <w:pPr>
                        <w:pStyle w:val="BoilerplateBodyText"/>
                      </w:pPr>
                      <w:r>
                        <w:rPr>
                          <w:lang w:val="nl-NL"/>
                        </w:rPr>
                        <w:t>Copyright</w:t>
                      </w:r>
                      <w:r>
                        <w:rPr>
                          <w:vertAlign w:val="superscript"/>
                          <w:lang w:val="nl-NL"/>
                        </w:rPr>
                        <w:t>®</w:t>
                      </w:r>
                      <w:r>
                        <w:rPr>
                          <w:lang w:val="nl-NL"/>
                        </w:rPr>
                        <w:t xml:space="preserve"> 2016 </w:t>
                      </w:r>
                      <w:r>
                        <w:rPr>
                          <w:i/>
                          <w:iCs/>
                          <w:lang w:val="nl-NL"/>
                        </w:rPr>
                        <w:t>The Institute of Internal Auditors.</w:t>
                      </w:r>
                      <w:r w:rsidR="005F6540">
                        <w:rPr>
                          <w:i/>
                          <w:iCs/>
                          <w:lang w:val="nl-NL"/>
                        </w:rPr>
                        <w:t xml:space="preserve"> </w:t>
                      </w:r>
                      <w:r>
                        <w:rPr>
                          <w:lang w:val="nl-NL"/>
                        </w:rPr>
                        <w:t xml:space="preserve">Toestemming voor reproductie van deze publicatie kunt u per e-mail aanvragen via guidance@theiia.org. </w:t>
                      </w:r>
                    </w:p>
                    <w:p w:rsidR="00AF61BE" w:rsidRPr="00E6381B" w:rsidRDefault="00FF7487" w:rsidP="00AF61BE"/>
                  </w:txbxContent>
                </v:textbox>
                <w10:wrap type="square" anchorx="margin"/>
              </v:shape>
            </w:pict>
          </mc:Fallback>
        </mc:AlternateContent>
      </w:r>
    </w:p>
    <w:sectPr w:rsidR="006050F3" w:rsidRPr="00F80685" w:rsidSect="00893833">
      <w:headerReference w:type="even" r:id="rId8"/>
      <w:headerReference w:type="default" r:id="rId9"/>
      <w:footerReference w:type="default" r:id="rId10"/>
      <w:headerReference w:type="first" r:id="rId11"/>
      <w:footerReference w:type="first" r:id="rId12"/>
      <w:pgSz w:w="12240" w:h="15840"/>
      <w:pgMar w:top="1800" w:right="1080" w:bottom="189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EA1" w:rsidRDefault="004A7B3D">
      <w:r>
        <w:separator/>
      </w:r>
    </w:p>
  </w:endnote>
  <w:endnote w:type="continuationSeparator" w:id="0">
    <w:p w:rsidR="00CC3EA1" w:rsidRDefault="004A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6227FD" w:rsidRDefault="004A7B3D" w:rsidP="006227FD">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FF7487">
      <w:rPr>
        <w:rStyle w:val="Paginanummer"/>
        <w:noProof/>
        <w:color w:val="535953"/>
        <w:sz w:val="16"/>
        <w:szCs w:val="16"/>
      </w:rPr>
      <w:t>2</w:t>
    </w:r>
    <w:r w:rsidRPr="006227FD">
      <w:rPr>
        <w:rStyle w:val="Paginanummer"/>
        <w:color w:val="535953"/>
        <w:sz w:val="16"/>
        <w:szCs w:val="16"/>
      </w:rPr>
      <w:fldChar w:fldCharType="end"/>
    </w:r>
  </w:p>
  <w:p w:rsidR="00B01FFE" w:rsidRDefault="00FF74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893833" w:rsidRDefault="005F6540" w:rsidP="00893833">
    <w:pPr>
      <w:framePr w:wrap="around" w:vAnchor="text" w:hAnchor="page" w:x="6071" w:y="277"/>
      <w:rPr>
        <w:rStyle w:val="Paginanummer"/>
        <w:color w:val="535953"/>
        <w:sz w:val="16"/>
        <w:szCs w:val="16"/>
      </w:rPr>
    </w:pPr>
    <w:r>
      <w:rPr>
        <w:rStyle w:val="Paginanummer"/>
        <w:lang w:val="nl-NL"/>
      </w:rPr>
      <w:t xml:space="preserve"> </w:t>
    </w:r>
    <w:r w:rsidR="004A7B3D" w:rsidRPr="00893833">
      <w:rPr>
        <w:rStyle w:val="Paginanummer"/>
        <w:color w:val="535953"/>
        <w:sz w:val="16"/>
        <w:szCs w:val="16"/>
      </w:rPr>
      <w:fldChar w:fldCharType="begin"/>
    </w:r>
    <w:r w:rsidR="004A7B3D" w:rsidRPr="00893833">
      <w:rPr>
        <w:rStyle w:val="Paginanummer"/>
        <w:color w:val="535953"/>
        <w:sz w:val="16"/>
        <w:szCs w:val="16"/>
      </w:rPr>
      <w:instrText xml:space="preserve">PAGE  </w:instrText>
    </w:r>
    <w:r w:rsidR="004A7B3D" w:rsidRPr="00893833">
      <w:rPr>
        <w:rStyle w:val="Paginanummer"/>
        <w:color w:val="535953"/>
        <w:sz w:val="16"/>
        <w:szCs w:val="16"/>
      </w:rPr>
      <w:fldChar w:fldCharType="separate"/>
    </w:r>
    <w:r w:rsidR="00FF7487">
      <w:rPr>
        <w:rStyle w:val="Paginanummer"/>
        <w:noProof/>
        <w:color w:val="535953"/>
        <w:sz w:val="16"/>
        <w:szCs w:val="16"/>
      </w:rPr>
      <w:t>1</w:t>
    </w:r>
    <w:r w:rsidR="004A7B3D" w:rsidRPr="00893833">
      <w:rPr>
        <w:rStyle w:val="Paginanummer"/>
        <w:color w:val="535953"/>
        <w:sz w:val="16"/>
        <w:szCs w:val="16"/>
      </w:rPr>
      <w:fldChar w:fldCharType="end"/>
    </w:r>
  </w:p>
  <w:p w:rsidR="00B01FFE" w:rsidRDefault="00FF74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EA1" w:rsidRDefault="004A7B3D">
      <w:r>
        <w:separator/>
      </w:r>
    </w:p>
  </w:footnote>
  <w:footnote w:type="continuationSeparator" w:id="0">
    <w:p w:rsidR="00CC3EA1" w:rsidRDefault="004A7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4A7B3D" w:rsidP="006227FD">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01FFE" w:rsidRDefault="00FF74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4A7B3D">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B01FFE" w:rsidRPr="006227FD" w:rsidRDefault="004A7B3D">
                          <w:pPr>
                            <w:rPr>
                              <w:rFonts w:ascii="Arial" w:hAnsi="Arial" w:cs="Arial"/>
                              <w:color w:val="002239" w:themeColor="text2" w:themeShade="80"/>
                            </w:rPr>
                          </w:pPr>
                          <w:r>
                            <w:rPr>
                              <w:rFonts w:ascii="Arial" w:hAnsi="Arial" w:cs="Arial"/>
                              <w:color w:val="0F1F4B"/>
                              <w:lang w:val="nl-NL"/>
                            </w:rPr>
                            <w:t>Implementatierichtlijn 1110</w:t>
                          </w:r>
                          <w:r w:rsidR="005F6540">
                            <w:rPr>
                              <w:rFonts w:ascii="Arial" w:hAnsi="Arial" w:cs="Arial"/>
                              <w:color w:val="002239" w:themeColor="text2" w:themeShade="80"/>
                              <w:lang w:val="nl-NL"/>
                            </w:rPr>
                            <w:t xml:space="preserve"> </w:t>
                          </w:r>
                          <w:r w:rsidR="00824D34">
                            <w:rPr>
                              <w:rFonts w:ascii="Arial" w:hAnsi="Arial" w:cs="Arial"/>
                              <w:color w:val="002239" w:themeColor="text2" w:themeShade="80"/>
                              <w:lang w:val="nl-NL"/>
                            </w:rPr>
                            <w:t xml:space="preserve">- </w:t>
                          </w:r>
                          <w:r>
                            <w:rPr>
                              <w:rFonts w:ascii="Arial" w:hAnsi="Arial" w:cs="Arial"/>
                              <w:color w:val="535953"/>
                              <w:lang w:val="nl-NL"/>
                            </w:rPr>
                            <w:t>Organisatorische onafhankelijkheid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B01FFE" w:rsidRPr="006227FD" w:rsidRDefault="004A7B3D">
                    <w:pPr>
                      <w:rPr>
                        <w:rFonts w:ascii="Arial" w:hAnsi="Arial" w:cs="Arial"/>
                        <w:color w:val="002239" w:themeColor="text2" w:themeShade="80"/>
                      </w:rPr>
                    </w:pPr>
                    <w:r>
                      <w:rPr>
                        <w:rFonts w:ascii="Arial" w:hAnsi="Arial" w:cs="Arial"/>
                        <w:color w:val="0F1F4B"/>
                        <w:lang w:val="nl-NL"/>
                      </w:rPr>
                      <w:t>Implementatierichtlijn 1110</w:t>
                    </w:r>
                    <w:r w:rsidR="005F6540">
                      <w:rPr>
                        <w:rFonts w:ascii="Arial" w:hAnsi="Arial" w:cs="Arial"/>
                        <w:color w:val="002239" w:themeColor="text2" w:themeShade="80"/>
                        <w:lang w:val="nl-NL"/>
                      </w:rPr>
                      <w:t xml:space="preserve"> </w:t>
                    </w:r>
                    <w:r w:rsidR="00824D34">
                      <w:rPr>
                        <w:rFonts w:ascii="Arial" w:hAnsi="Arial" w:cs="Arial"/>
                        <w:color w:val="002239" w:themeColor="text2" w:themeShade="80"/>
                        <w:lang w:val="nl-NL"/>
                      </w:rPr>
                      <w:t xml:space="preserve">- </w:t>
                    </w:r>
                    <w:r>
                      <w:rPr>
                        <w:rFonts w:ascii="Arial" w:hAnsi="Arial" w:cs="Arial"/>
                        <w:color w:val="535953"/>
                        <w:lang w:val="nl-NL"/>
                      </w:rPr>
                      <w:t>Organisatorische onafhankelijkheid</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4A7B3D">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64F0A792">
      <w:start w:val="1"/>
      <w:numFmt w:val="bullet"/>
      <w:lvlText w:val=""/>
      <w:lvlJc w:val="left"/>
      <w:pPr>
        <w:ind w:left="990" w:hanging="360"/>
      </w:pPr>
      <w:rPr>
        <w:rFonts w:ascii="Symbol" w:hAnsi="Symbol" w:hint="default"/>
        <w:color w:val="D32E30" w:themeColor="accent2"/>
      </w:rPr>
    </w:lvl>
    <w:lvl w:ilvl="1" w:tplc="200235F2" w:tentative="1">
      <w:start w:val="1"/>
      <w:numFmt w:val="bullet"/>
      <w:lvlText w:val="o"/>
      <w:lvlJc w:val="left"/>
      <w:pPr>
        <w:ind w:left="1710" w:hanging="360"/>
      </w:pPr>
      <w:rPr>
        <w:rFonts w:ascii="Courier New" w:hAnsi="Courier New" w:hint="default"/>
      </w:rPr>
    </w:lvl>
    <w:lvl w:ilvl="2" w:tplc="E8F8F092" w:tentative="1">
      <w:start w:val="1"/>
      <w:numFmt w:val="bullet"/>
      <w:lvlText w:val=""/>
      <w:lvlJc w:val="left"/>
      <w:pPr>
        <w:ind w:left="2430" w:hanging="360"/>
      </w:pPr>
      <w:rPr>
        <w:rFonts w:ascii="Wingdings" w:hAnsi="Wingdings" w:hint="default"/>
      </w:rPr>
    </w:lvl>
    <w:lvl w:ilvl="3" w:tplc="C80894C8" w:tentative="1">
      <w:start w:val="1"/>
      <w:numFmt w:val="bullet"/>
      <w:lvlText w:val=""/>
      <w:lvlJc w:val="left"/>
      <w:pPr>
        <w:ind w:left="3150" w:hanging="360"/>
      </w:pPr>
      <w:rPr>
        <w:rFonts w:ascii="Symbol" w:hAnsi="Symbol" w:hint="default"/>
      </w:rPr>
    </w:lvl>
    <w:lvl w:ilvl="4" w:tplc="39F4C0A6" w:tentative="1">
      <w:start w:val="1"/>
      <w:numFmt w:val="bullet"/>
      <w:lvlText w:val="o"/>
      <w:lvlJc w:val="left"/>
      <w:pPr>
        <w:ind w:left="3870" w:hanging="360"/>
      </w:pPr>
      <w:rPr>
        <w:rFonts w:ascii="Courier New" w:hAnsi="Courier New" w:hint="default"/>
      </w:rPr>
    </w:lvl>
    <w:lvl w:ilvl="5" w:tplc="1EB44BCA" w:tentative="1">
      <w:start w:val="1"/>
      <w:numFmt w:val="bullet"/>
      <w:lvlText w:val=""/>
      <w:lvlJc w:val="left"/>
      <w:pPr>
        <w:ind w:left="4590" w:hanging="360"/>
      </w:pPr>
      <w:rPr>
        <w:rFonts w:ascii="Wingdings" w:hAnsi="Wingdings" w:hint="default"/>
      </w:rPr>
    </w:lvl>
    <w:lvl w:ilvl="6" w:tplc="ECC862BA" w:tentative="1">
      <w:start w:val="1"/>
      <w:numFmt w:val="bullet"/>
      <w:lvlText w:val=""/>
      <w:lvlJc w:val="left"/>
      <w:pPr>
        <w:ind w:left="5310" w:hanging="360"/>
      </w:pPr>
      <w:rPr>
        <w:rFonts w:ascii="Symbol" w:hAnsi="Symbol" w:hint="default"/>
      </w:rPr>
    </w:lvl>
    <w:lvl w:ilvl="7" w:tplc="15CC8A54" w:tentative="1">
      <w:start w:val="1"/>
      <w:numFmt w:val="bullet"/>
      <w:lvlText w:val="o"/>
      <w:lvlJc w:val="left"/>
      <w:pPr>
        <w:ind w:left="6030" w:hanging="360"/>
      </w:pPr>
      <w:rPr>
        <w:rFonts w:ascii="Courier New" w:hAnsi="Courier New" w:hint="default"/>
      </w:rPr>
    </w:lvl>
    <w:lvl w:ilvl="8" w:tplc="2106480E"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A770E70E">
      <w:start w:val="1"/>
      <w:numFmt w:val="bullet"/>
      <w:pStyle w:val="RedBullets"/>
      <w:lvlText w:val=""/>
      <w:lvlJc w:val="left"/>
      <w:pPr>
        <w:ind w:left="994" w:hanging="360"/>
      </w:pPr>
      <w:rPr>
        <w:rFonts w:ascii="Symbol" w:hAnsi="Symbol" w:hint="default"/>
        <w:color w:val="D32E30" w:themeColor="accent2"/>
      </w:rPr>
    </w:lvl>
    <w:lvl w:ilvl="1" w:tplc="945C1FE4">
      <w:start w:val="1"/>
      <w:numFmt w:val="bullet"/>
      <w:lvlText w:val="o"/>
      <w:lvlJc w:val="left"/>
      <w:pPr>
        <w:ind w:left="1714" w:hanging="360"/>
      </w:pPr>
      <w:rPr>
        <w:rFonts w:ascii="Courier New" w:hAnsi="Courier New" w:hint="default"/>
      </w:rPr>
    </w:lvl>
    <w:lvl w:ilvl="2" w:tplc="F81ABBD8" w:tentative="1">
      <w:start w:val="1"/>
      <w:numFmt w:val="bullet"/>
      <w:lvlText w:val=""/>
      <w:lvlJc w:val="left"/>
      <w:pPr>
        <w:ind w:left="2434" w:hanging="360"/>
      </w:pPr>
      <w:rPr>
        <w:rFonts w:ascii="Wingdings" w:hAnsi="Wingdings" w:hint="default"/>
      </w:rPr>
    </w:lvl>
    <w:lvl w:ilvl="3" w:tplc="C0CE101C" w:tentative="1">
      <w:start w:val="1"/>
      <w:numFmt w:val="bullet"/>
      <w:lvlText w:val=""/>
      <w:lvlJc w:val="left"/>
      <w:pPr>
        <w:ind w:left="3154" w:hanging="360"/>
      </w:pPr>
      <w:rPr>
        <w:rFonts w:ascii="Symbol" w:hAnsi="Symbol" w:hint="default"/>
      </w:rPr>
    </w:lvl>
    <w:lvl w:ilvl="4" w:tplc="6C78C402" w:tentative="1">
      <w:start w:val="1"/>
      <w:numFmt w:val="bullet"/>
      <w:lvlText w:val="o"/>
      <w:lvlJc w:val="left"/>
      <w:pPr>
        <w:ind w:left="3874" w:hanging="360"/>
      </w:pPr>
      <w:rPr>
        <w:rFonts w:ascii="Courier New" w:hAnsi="Courier New" w:hint="default"/>
      </w:rPr>
    </w:lvl>
    <w:lvl w:ilvl="5" w:tplc="F3EC5310" w:tentative="1">
      <w:start w:val="1"/>
      <w:numFmt w:val="bullet"/>
      <w:lvlText w:val=""/>
      <w:lvlJc w:val="left"/>
      <w:pPr>
        <w:ind w:left="4594" w:hanging="360"/>
      </w:pPr>
      <w:rPr>
        <w:rFonts w:ascii="Wingdings" w:hAnsi="Wingdings" w:hint="default"/>
      </w:rPr>
    </w:lvl>
    <w:lvl w:ilvl="6" w:tplc="0608C7CC" w:tentative="1">
      <w:start w:val="1"/>
      <w:numFmt w:val="bullet"/>
      <w:lvlText w:val=""/>
      <w:lvlJc w:val="left"/>
      <w:pPr>
        <w:ind w:left="5314" w:hanging="360"/>
      </w:pPr>
      <w:rPr>
        <w:rFonts w:ascii="Symbol" w:hAnsi="Symbol" w:hint="default"/>
      </w:rPr>
    </w:lvl>
    <w:lvl w:ilvl="7" w:tplc="857A0ED6" w:tentative="1">
      <w:start w:val="1"/>
      <w:numFmt w:val="bullet"/>
      <w:lvlText w:val="o"/>
      <w:lvlJc w:val="left"/>
      <w:pPr>
        <w:ind w:left="6034" w:hanging="360"/>
      </w:pPr>
      <w:rPr>
        <w:rFonts w:ascii="Courier New" w:hAnsi="Courier New" w:hint="default"/>
      </w:rPr>
    </w:lvl>
    <w:lvl w:ilvl="8" w:tplc="8D4E50A0"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33EEA208">
      <w:start w:val="1"/>
      <w:numFmt w:val="bullet"/>
      <w:lvlText w:val=""/>
      <w:lvlJc w:val="left"/>
      <w:pPr>
        <w:ind w:left="720" w:hanging="360"/>
      </w:pPr>
      <w:rPr>
        <w:rFonts w:ascii="Symbol" w:hAnsi="Symbol" w:hint="default"/>
        <w:color w:val="D32E30" w:themeColor="accent2"/>
      </w:rPr>
    </w:lvl>
    <w:lvl w:ilvl="1" w:tplc="8C063B20" w:tentative="1">
      <w:start w:val="1"/>
      <w:numFmt w:val="bullet"/>
      <w:lvlText w:val="o"/>
      <w:lvlJc w:val="left"/>
      <w:pPr>
        <w:ind w:left="1170" w:hanging="360"/>
      </w:pPr>
      <w:rPr>
        <w:rFonts w:ascii="Courier New" w:hAnsi="Courier New" w:hint="default"/>
      </w:rPr>
    </w:lvl>
    <w:lvl w:ilvl="2" w:tplc="B08A4C04" w:tentative="1">
      <w:start w:val="1"/>
      <w:numFmt w:val="bullet"/>
      <w:lvlText w:val=""/>
      <w:lvlJc w:val="left"/>
      <w:pPr>
        <w:ind w:left="1890" w:hanging="360"/>
      </w:pPr>
      <w:rPr>
        <w:rFonts w:ascii="Wingdings" w:hAnsi="Wingdings" w:hint="default"/>
      </w:rPr>
    </w:lvl>
    <w:lvl w:ilvl="3" w:tplc="9A9E3C9A" w:tentative="1">
      <w:start w:val="1"/>
      <w:numFmt w:val="bullet"/>
      <w:lvlText w:val=""/>
      <w:lvlJc w:val="left"/>
      <w:pPr>
        <w:ind w:left="2610" w:hanging="360"/>
      </w:pPr>
      <w:rPr>
        <w:rFonts w:ascii="Symbol" w:hAnsi="Symbol" w:hint="default"/>
      </w:rPr>
    </w:lvl>
    <w:lvl w:ilvl="4" w:tplc="2AF8D682" w:tentative="1">
      <w:start w:val="1"/>
      <w:numFmt w:val="bullet"/>
      <w:lvlText w:val="o"/>
      <w:lvlJc w:val="left"/>
      <w:pPr>
        <w:ind w:left="3330" w:hanging="360"/>
      </w:pPr>
      <w:rPr>
        <w:rFonts w:ascii="Courier New" w:hAnsi="Courier New" w:hint="default"/>
      </w:rPr>
    </w:lvl>
    <w:lvl w:ilvl="5" w:tplc="D68C50DE" w:tentative="1">
      <w:start w:val="1"/>
      <w:numFmt w:val="bullet"/>
      <w:lvlText w:val=""/>
      <w:lvlJc w:val="left"/>
      <w:pPr>
        <w:ind w:left="4050" w:hanging="360"/>
      </w:pPr>
      <w:rPr>
        <w:rFonts w:ascii="Wingdings" w:hAnsi="Wingdings" w:hint="default"/>
      </w:rPr>
    </w:lvl>
    <w:lvl w:ilvl="6" w:tplc="AC244C02" w:tentative="1">
      <w:start w:val="1"/>
      <w:numFmt w:val="bullet"/>
      <w:lvlText w:val=""/>
      <w:lvlJc w:val="left"/>
      <w:pPr>
        <w:ind w:left="4770" w:hanging="360"/>
      </w:pPr>
      <w:rPr>
        <w:rFonts w:ascii="Symbol" w:hAnsi="Symbol" w:hint="default"/>
      </w:rPr>
    </w:lvl>
    <w:lvl w:ilvl="7" w:tplc="6D1C3E60" w:tentative="1">
      <w:start w:val="1"/>
      <w:numFmt w:val="bullet"/>
      <w:lvlText w:val="o"/>
      <w:lvlJc w:val="left"/>
      <w:pPr>
        <w:ind w:left="5490" w:hanging="360"/>
      </w:pPr>
      <w:rPr>
        <w:rFonts w:ascii="Courier New" w:hAnsi="Courier New" w:hint="default"/>
      </w:rPr>
    </w:lvl>
    <w:lvl w:ilvl="8" w:tplc="6CDCA1C0"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4A7B3D"/>
    <w:rsid w:val="004A7B3D"/>
    <w:rsid w:val="005F6540"/>
    <w:rsid w:val="00824D34"/>
    <w:rsid w:val="00C4461B"/>
    <w:rsid w:val="00CC3EA1"/>
    <w:rsid w:val="00F80685"/>
    <w:rsid w:val="00FF748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522224-6433-48DC-A7AD-5D0B3C32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61BE"/>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0F642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6428"/>
    <w:rPr>
      <w:rFonts w:ascii="Segoe UI" w:hAnsi="Segoe UI" w:cs="Segoe UI"/>
      <w:sz w:val="18"/>
      <w:szCs w:val="18"/>
    </w:rPr>
  </w:style>
  <w:style w:type="character" w:styleId="Verwijzingopmerking">
    <w:name w:val="annotation reference"/>
    <w:basedOn w:val="Standaardalinea-lettertype"/>
    <w:uiPriority w:val="99"/>
    <w:semiHidden/>
    <w:unhideWhenUsed/>
    <w:rsid w:val="000F2DEC"/>
    <w:rPr>
      <w:sz w:val="16"/>
      <w:szCs w:val="16"/>
    </w:rPr>
  </w:style>
  <w:style w:type="paragraph" w:styleId="Tekstopmerking">
    <w:name w:val="annotation text"/>
    <w:basedOn w:val="Standaard"/>
    <w:link w:val="TekstopmerkingChar"/>
    <w:uiPriority w:val="99"/>
    <w:semiHidden/>
    <w:unhideWhenUsed/>
    <w:rsid w:val="000F2DEC"/>
    <w:rPr>
      <w:sz w:val="20"/>
      <w:szCs w:val="20"/>
    </w:rPr>
  </w:style>
  <w:style w:type="character" w:customStyle="1" w:styleId="TekstopmerkingChar">
    <w:name w:val="Tekst opmerking Char"/>
    <w:basedOn w:val="Standaardalinea-lettertype"/>
    <w:link w:val="Tekstopmerking"/>
    <w:uiPriority w:val="99"/>
    <w:semiHidden/>
    <w:rsid w:val="000F2DEC"/>
    <w:rPr>
      <w:sz w:val="20"/>
      <w:szCs w:val="20"/>
    </w:rPr>
  </w:style>
  <w:style w:type="paragraph" w:styleId="Onderwerpvanopmerking">
    <w:name w:val="annotation subject"/>
    <w:basedOn w:val="Tekstopmerking"/>
    <w:next w:val="Tekstopmerking"/>
    <w:link w:val="OnderwerpvanopmerkingChar"/>
    <w:uiPriority w:val="99"/>
    <w:semiHidden/>
    <w:unhideWhenUsed/>
    <w:rsid w:val="000F2DEC"/>
    <w:rPr>
      <w:b/>
      <w:bCs/>
    </w:rPr>
  </w:style>
  <w:style w:type="character" w:customStyle="1" w:styleId="OnderwerpvanopmerkingChar">
    <w:name w:val="Onderwerp van opmerking Char"/>
    <w:basedOn w:val="TekstopmerkingChar"/>
    <w:link w:val="Onderwerpvanopmerking"/>
    <w:uiPriority w:val="99"/>
    <w:semiHidden/>
    <w:rsid w:val="000F2DEC"/>
    <w:rPr>
      <w:b/>
      <w:bCs/>
      <w:sz w:val="20"/>
      <w:szCs w:val="20"/>
    </w:rPr>
  </w:style>
  <w:style w:type="paragraph" w:styleId="Geenafstand">
    <w:name w:val="No Spacing"/>
    <w:uiPriority w:val="1"/>
    <w:qFormat/>
    <w:rsid w:val="00F80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072594-50CB-405C-BF7B-F132C6CE2587}">
  <ds:schemaRefs>
    <ds:schemaRef ds:uri="http://schemas.openxmlformats.org/officeDocument/2006/bibliography"/>
  </ds:schemaRefs>
</ds:datastoreItem>
</file>

<file path=customXml/itemProps2.xml><?xml version="1.0" encoding="utf-8"?>
<ds:datastoreItem xmlns:ds="http://schemas.openxmlformats.org/officeDocument/2006/customXml" ds:itemID="{9CA3702F-F07F-4D78-AAEA-0E29935C4C28}"/>
</file>

<file path=customXml/itemProps3.xml><?xml version="1.0" encoding="utf-8"?>
<ds:datastoreItem xmlns:ds="http://schemas.openxmlformats.org/officeDocument/2006/customXml" ds:itemID="{53491FC3-D3B7-4A0E-A4F6-BD155674148E}"/>
</file>

<file path=customXml/itemProps4.xml><?xml version="1.0" encoding="utf-8"?>
<ds:datastoreItem xmlns:ds="http://schemas.openxmlformats.org/officeDocument/2006/customXml" ds:itemID="{8114FE42-6915-4E44-AEEF-792DD5040D2D}"/>
</file>

<file path=docProps/app.xml><?xml version="1.0" encoding="utf-8"?>
<Properties xmlns="http://schemas.openxmlformats.org/officeDocument/2006/extended-properties" xmlns:vt="http://schemas.openxmlformats.org/officeDocument/2006/docPropsVTypes">
  <Template>679CF738</Template>
  <TotalTime>6</TotalTime>
  <Pages>5</Pages>
  <Words>900</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IIA</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9</cp:revision>
  <dcterms:created xsi:type="dcterms:W3CDTF">2016-11-07T15:39:00Z</dcterms:created>
  <dcterms:modified xsi:type="dcterms:W3CDTF">2017-08-21T12:30:00Z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