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57B5" w:rsidRPr="008D057F" w:rsidRDefault="00C6368B" w:rsidP="00FF046F">
      <w:pPr>
        <w:pStyle w:val="Geenafstand"/>
        <w:rPr>
          <w:rFonts w:cstheme="minorHAnsi"/>
          <w:lang w:val="nl-NL"/>
        </w:rPr>
      </w:pPr>
      <w:r w:rsidRPr="008D057F">
        <w:rPr>
          <w:rFonts w:cstheme="minorHAnsi"/>
          <w:noProof/>
          <w:lang w:val="nl-NL" w:eastAsia="nl-NL"/>
        </w:rPr>
        <mc:AlternateContent>
          <mc:Choice Requires="wps">
            <w:drawing>
              <wp:anchor distT="2103120" distB="274320" distL="114300" distR="114300" simplePos="0" relativeHeight="251658240" behindDoc="0" locked="0" layoutInCell="1" allowOverlap="1" wp14:anchorId="77BB7B64" wp14:editId="6E799E7E">
                <wp:simplePos x="0" y="0"/>
                <wp:positionH relativeFrom="margin">
                  <wp:align>right</wp:align>
                </wp:positionH>
                <wp:positionV relativeFrom="margin">
                  <wp:posOffset>1524000</wp:posOffset>
                </wp:positionV>
                <wp:extent cx="6400800" cy="5095875"/>
                <wp:effectExtent l="0" t="0" r="0" b="9525"/>
                <wp:wrapSquare wrapText="bothSides"/>
                <wp:docPr id="5" name="Text Box 5"/>
                <wp:cNvGraphicFramePr/>
                <a:graphic xmlns:a="http://schemas.openxmlformats.org/drawingml/2006/main">
                  <a:graphicData uri="http://schemas.microsoft.com/office/word/2010/wordprocessingShape">
                    <wps:wsp>
                      <wps:cNvSpPr txBox="1"/>
                      <wps:spPr>
                        <a:xfrm>
                          <a:off x="0" y="0"/>
                          <a:ext cx="6400800" cy="5095875"/>
                        </a:xfrm>
                        <a:prstGeom prst="rect">
                          <a:avLst/>
                        </a:prstGeom>
                        <a:solidFill>
                          <a:schemeClr val="bg1">
                            <a:lumMod val="85000"/>
                          </a:scheme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rsidR="002F57B5" w:rsidRPr="00890221" w:rsidRDefault="00665553" w:rsidP="002F57B5">
                            <w:pPr>
                              <w:pStyle w:val="TemplateHeadline"/>
                              <w:rPr>
                                <w:rFonts w:asciiTheme="majorHAnsi" w:hAnsiTheme="majorHAnsi" w:cstheme="majorHAnsi"/>
                                <w:lang w:val="nl-NL"/>
                              </w:rPr>
                            </w:pPr>
                            <w:r w:rsidRPr="00890221">
                              <w:rPr>
                                <w:rFonts w:asciiTheme="majorHAnsi" w:hAnsiTheme="majorHAnsi" w:cstheme="majorHAnsi"/>
                                <w:lang w:val="nl-NL"/>
                              </w:rPr>
                              <w:t xml:space="preserve">Standaard </w:t>
                            </w:r>
                            <w:r w:rsidR="00A10180" w:rsidRPr="00890221">
                              <w:rPr>
                                <w:rFonts w:asciiTheme="majorHAnsi" w:hAnsiTheme="majorHAnsi" w:cstheme="majorHAnsi"/>
                                <w:lang w:val="nl-NL"/>
                              </w:rPr>
                              <w:t>1300</w:t>
                            </w:r>
                            <w:r w:rsidR="002F57B5" w:rsidRPr="00890221">
                              <w:rPr>
                                <w:rFonts w:asciiTheme="majorHAnsi" w:hAnsiTheme="majorHAnsi" w:cstheme="majorHAnsi"/>
                                <w:lang w:val="nl-NL"/>
                              </w:rPr>
                              <w:t xml:space="preserve"> - </w:t>
                            </w:r>
                            <w:r w:rsidR="00A10180" w:rsidRPr="00890221">
                              <w:rPr>
                                <w:rFonts w:asciiTheme="majorHAnsi" w:hAnsiTheme="majorHAnsi" w:cstheme="majorHAnsi"/>
                                <w:lang w:val="nl-NL"/>
                              </w:rPr>
                              <w:t>Programma voor kwaliteitsbewaking en -verbetering</w:t>
                            </w:r>
                          </w:p>
                          <w:p w:rsidR="005A0CAD" w:rsidRPr="008D057F" w:rsidRDefault="00325BDE" w:rsidP="002F57B5">
                            <w:pPr>
                              <w:pStyle w:val="RedBullets"/>
                              <w:numPr>
                                <w:ilvl w:val="0"/>
                                <w:numId w:val="0"/>
                              </w:numPr>
                              <w:rPr>
                                <w:rFonts w:asciiTheme="majorHAnsi" w:hAnsiTheme="majorHAnsi" w:cstheme="majorHAnsi"/>
                                <w:sz w:val="22"/>
                                <w:szCs w:val="22"/>
                                <w:lang w:val="nl-NL"/>
                              </w:rPr>
                            </w:pPr>
                            <w:r w:rsidRPr="008D057F">
                              <w:rPr>
                                <w:rFonts w:asciiTheme="majorHAnsi" w:hAnsiTheme="majorHAnsi" w:cstheme="majorHAnsi"/>
                                <w:sz w:val="22"/>
                                <w:szCs w:val="22"/>
                                <w:lang w:val="nl-NL"/>
                              </w:rPr>
                              <w:t>Het hoofd van de internal-auditfunctie moet een programma voor kwaliteitsbewaking en -verbetering ontwikkelen en in stand houden, dat alle aspecten van de internal-auditfunctie bestrijkt.</w:t>
                            </w:r>
                          </w:p>
                          <w:p w:rsidR="00325BDE" w:rsidRPr="008D057F" w:rsidRDefault="00325BDE" w:rsidP="002F57B5">
                            <w:pPr>
                              <w:pStyle w:val="RedBullets"/>
                              <w:numPr>
                                <w:ilvl w:val="0"/>
                                <w:numId w:val="0"/>
                              </w:numPr>
                              <w:rPr>
                                <w:rFonts w:asciiTheme="majorHAnsi" w:hAnsiTheme="majorHAnsi" w:cstheme="majorHAnsi"/>
                                <w:sz w:val="22"/>
                                <w:szCs w:val="22"/>
                                <w:lang w:val="nl-NL"/>
                              </w:rPr>
                            </w:pPr>
                          </w:p>
                          <w:p w:rsidR="00325BDE" w:rsidRPr="008D057F" w:rsidRDefault="00325BDE" w:rsidP="002F57B5">
                            <w:pPr>
                              <w:pStyle w:val="RedBullets"/>
                              <w:numPr>
                                <w:ilvl w:val="0"/>
                                <w:numId w:val="0"/>
                              </w:numPr>
                              <w:rPr>
                                <w:rFonts w:asciiTheme="majorHAnsi" w:hAnsiTheme="majorHAnsi" w:cstheme="majorHAnsi"/>
                                <w:b/>
                                <w:sz w:val="22"/>
                                <w:szCs w:val="22"/>
                                <w:lang w:val="nl-NL"/>
                              </w:rPr>
                            </w:pPr>
                            <w:r w:rsidRPr="008D057F">
                              <w:rPr>
                                <w:rFonts w:asciiTheme="majorHAnsi" w:hAnsiTheme="majorHAnsi" w:cstheme="majorHAnsi"/>
                                <w:b/>
                                <w:sz w:val="22"/>
                                <w:szCs w:val="22"/>
                                <w:lang w:val="nl-NL"/>
                              </w:rPr>
                              <w:t>Interpretatie:</w:t>
                            </w:r>
                          </w:p>
                          <w:p w:rsidR="008D057F" w:rsidRPr="008D057F" w:rsidRDefault="008D057F" w:rsidP="002F57B5">
                            <w:pPr>
                              <w:pStyle w:val="RedBullets"/>
                              <w:numPr>
                                <w:ilvl w:val="0"/>
                                <w:numId w:val="0"/>
                              </w:numPr>
                              <w:rPr>
                                <w:rFonts w:asciiTheme="majorHAnsi" w:hAnsiTheme="majorHAnsi" w:cstheme="majorHAnsi"/>
                                <w:b/>
                                <w:sz w:val="22"/>
                                <w:szCs w:val="22"/>
                                <w:lang w:val="nl-NL"/>
                              </w:rPr>
                            </w:pPr>
                          </w:p>
                          <w:p w:rsidR="00325BDE" w:rsidRPr="008D057F" w:rsidRDefault="00890221" w:rsidP="002F57B5">
                            <w:pPr>
                              <w:pStyle w:val="RedBullets"/>
                              <w:numPr>
                                <w:ilvl w:val="0"/>
                                <w:numId w:val="0"/>
                              </w:numPr>
                              <w:rPr>
                                <w:rFonts w:asciiTheme="majorHAnsi" w:hAnsiTheme="majorHAnsi" w:cstheme="majorHAnsi"/>
                                <w:i/>
                                <w:sz w:val="22"/>
                                <w:szCs w:val="22"/>
                                <w:lang w:val="nl-NL"/>
                              </w:rPr>
                            </w:pPr>
                            <w:r w:rsidRPr="008D057F">
                              <w:rPr>
                                <w:rFonts w:asciiTheme="majorHAnsi" w:hAnsiTheme="majorHAnsi" w:cstheme="majorHAnsi"/>
                                <w:i/>
                                <w:sz w:val="22"/>
                                <w:szCs w:val="22"/>
                                <w:lang w:val="nl-NL"/>
                              </w:rPr>
                              <w:t>Een programma voor kwaliteitsbewaking en -verbetering is ontworpen om een beoordeling van de naleving door de internal-auditfunctie van de Standaarden en een evaluatie van de naleving door de internal auditors van de gedragscode mogelijk te maken. Op grond van het programma moeten ook de efficiëntie en effectiviteit van de internal-auditfunctie worden beoordeeld en de mogelijkheden voor verbetering worden geïdentificeerd. Het hoofd van de internal-auditfunctie dient toezicht door het bestuur op het programma voor kwaliteitsbewaking en -verbetering aan te moedigen.</w:t>
                            </w:r>
                          </w:p>
                          <w:p w:rsidR="002F57B5" w:rsidRPr="008D057F" w:rsidRDefault="002F57B5" w:rsidP="002F57B5">
                            <w:pPr>
                              <w:pStyle w:val="RedBullets"/>
                              <w:numPr>
                                <w:ilvl w:val="0"/>
                                <w:numId w:val="0"/>
                              </w:numPr>
                              <w:rPr>
                                <w:rFonts w:asciiTheme="majorHAnsi" w:hAnsiTheme="majorHAnsi" w:cstheme="majorHAnsi"/>
                                <w:sz w:val="22"/>
                                <w:szCs w:val="22"/>
                                <w:lang w:val="nl-NL"/>
                              </w:rPr>
                            </w:pPr>
                          </w:p>
                          <w:p w:rsidR="00365B8D" w:rsidRPr="008D057F" w:rsidRDefault="00365B8D" w:rsidP="00365B8D">
                            <w:pPr>
                              <w:pStyle w:val="RedBullets"/>
                              <w:numPr>
                                <w:ilvl w:val="0"/>
                                <w:numId w:val="0"/>
                              </w:numPr>
                              <w:jc w:val="right"/>
                              <w:rPr>
                                <w:rFonts w:asciiTheme="majorHAnsi" w:hAnsiTheme="majorHAnsi" w:cstheme="majorHAnsi"/>
                                <w:sz w:val="22"/>
                                <w:szCs w:val="22"/>
                                <w:lang w:val="nl-NL"/>
                              </w:rPr>
                            </w:pPr>
                            <w:proofErr w:type="spellStart"/>
                            <w:r w:rsidRPr="008D057F">
                              <w:rPr>
                                <w:rFonts w:asciiTheme="majorHAnsi" w:hAnsiTheme="majorHAnsi" w:cstheme="majorHAnsi"/>
                                <w:sz w:val="22"/>
                                <w:szCs w:val="22"/>
                                <w:lang w:val="nl-NL"/>
                              </w:rPr>
                              <w:t>Herziene</w:t>
                            </w:r>
                            <w:proofErr w:type="spellEnd"/>
                            <w:r w:rsidRPr="008D057F">
                              <w:rPr>
                                <w:rFonts w:asciiTheme="majorHAnsi" w:hAnsiTheme="majorHAnsi" w:cstheme="majorHAnsi"/>
                                <w:sz w:val="22"/>
                                <w:szCs w:val="22"/>
                                <w:lang w:val="nl-NL"/>
                              </w:rPr>
                              <w:t xml:space="preserve"> Standaarden die per 1 januari 2017 van kracht zijn</w:t>
                            </w:r>
                          </w:p>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77BB7B64" id="_x0000_t202" coordsize="21600,21600" o:spt="202" path="m,l,21600r21600,l21600,xe">
                <v:stroke joinstyle="miter"/>
                <v:path gradientshapeok="t" o:connecttype="rect"/>
              </v:shapetype>
              <v:shape id="Text Box 5" o:spid="_x0000_s1026" type="#_x0000_t202" style="position:absolute;margin-left:452.8pt;margin-top:120pt;width:7in;height:401.25pt;z-index:251658240;visibility:visible;mso-wrap-style:square;mso-height-percent:0;mso-wrap-distance-left:9pt;mso-wrap-distance-top:165.6pt;mso-wrap-distance-right:9pt;mso-wrap-distance-bottom:21.6pt;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" fillcolor="#d8d8d8 [2732]" stroked="f">
                <v:textbox inset="14.4pt,23.76pt,14.4pt,23.76pt">
                  <w:txbxContent>
                    <w:p w:rsidR="002F57B5" w:rsidRPr="00890221" w:rsidRDefault="00665553" w:rsidP="002F57B5">
                      <w:pPr>
                        <w:pStyle w:val="TemplateHeadline"/>
                        <w:rPr>
                          <w:rFonts w:asciiTheme="majorHAnsi" w:hAnsiTheme="majorHAnsi" w:cstheme="majorHAnsi"/>
                          <w:lang w:val="nl-NL"/>
                        </w:rPr>
                      </w:pPr>
                      <w:r w:rsidRPr="00890221">
                        <w:rPr>
                          <w:rFonts w:asciiTheme="majorHAnsi" w:hAnsiTheme="majorHAnsi" w:cstheme="majorHAnsi"/>
                          <w:lang w:val="nl-NL"/>
                        </w:rPr>
                        <w:t xml:space="preserve">Standaard </w:t>
                      </w:r>
                      <w:r w:rsidR="00A10180" w:rsidRPr="00890221">
                        <w:rPr>
                          <w:rFonts w:asciiTheme="majorHAnsi" w:hAnsiTheme="majorHAnsi" w:cstheme="majorHAnsi"/>
                          <w:lang w:val="nl-NL"/>
                        </w:rPr>
                        <w:t>1300</w:t>
                      </w:r>
                      <w:r w:rsidR="002F57B5" w:rsidRPr="00890221">
                        <w:rPr>
                          <w:rFonts w:asciiTheme="majorHAnsi" w:hAnsiTheme="majorHAnsi" w:cstheme="majorHAnsi"/>
                          <w:lang w:val="nl-NL"/>
                        </w:rPr>
                        <w:t xml:space="preserve"> - </w:t>
                      </w:r>
                      <w:r w:rsidR="00A10180" w:rsidRPr="00890221">
                        <w:rPr>
                          <w:rFonts w:asciiTheme="majorHAnsi" w:hAnsiTheme="majorHAnsi" w:cstheme="majorHAnsi"/>
                          <w:lang w:val="nl-NL"/>
                        </w:rPr>
                        <w:t>Programma voor kwaliteitsbewaking en -verbetering</w:t>
                      </w:r>
                    </w:p>
                    <w:p w:rsidR="005A0CAD" w:rsidRPr="008D057F" w:rsidRDefault="00325BDE" w:rsidP="002F57B5">
                      <w:pPr>
                        <w:pStyle w:val="RedBullets"/>
                        <w:numPr>
                          <w:ilvl w:val="0"/>
                          <w:numId w:val="0"/>
                        </w:numPr>
                        <w:rPr>
                          <w:rFonts w:asciiTheme="majorHAnsi" w:hAnsiTheme="majorHAnsi" w:cstheme="majorHAnsi"/>
                          <w:sz w:val="22"/>
                          <w:szCs w:val="22"/>
                          <w:lang w:val="nl-NL"/>
                        </w:rPr>
                      </w:pPr>
                      <w:r w:rsidRPr="008D057F">
                        <w:rPr>
                          <w:rFonts w:asciiTheme="majorHAnsi" w:hAnsiTheme="majorHAnsi" w:cstheme="majorHAnsi"/>
                          <w:sz w:val="22"/>
                          <w:szCs w:val="22"/>
                          <w:lang w:val="nl-NL"/>
                        </w:rPr>
                        <w:t>Het hoofd van de internal-auditfunctie moet een programma voor kwaliteitsbewaking en -verbetering ontwikkelen en in stand houden, dat alle aspecten van de internal-auditfunctie bestrijkt.</w:t>
                      </w:r>
                    </w:p>
                    <w:p w:rsidR="00325BDE" w:rsidRPr="008D057F" w:rsidRDefault="00325BDE" w:rsidP="002F57B5">
                      <w:pPr>
                        <w:pStyle w:val="RedBullets"/>
                        <w:numPr>
                          <w:ilvl w:val="0"/>
                          <w:numId w:val="0"/>
                        </w:numPr>
                        <w:rPr>
                          <w:rFonts w:asciiTheme="majorHAnsi" w:hAnsiTheme="majorHAnsi" w:cstheme="majorHAnsi"/>
                          <w:sz w:val="22"/>
                          <w:szCs w:val="22"/>
                          <w:lang w:val="nl-NL"/>
                        </w:rPr>
                      </w:pPr>
                    </w:p>
                    <w:p w:rsidR="00325BDE" w:rsidRPr="008D057F" w:rsidRDefault="00325BDE" w:rsidP="002F57B5">
                      <w:pPr>
                        <w:pStyle w:val="RedBullets"/>
                        <w:numPr>
                          <w:ilvl w:val="0"/>
                          <w:numId w:val="0"/>
                        </w:numPr>
                        <w:rPr>
                          <w:rFonts w:asciiTheme="majorHAnsi" w:hAnsiTheme="majorHAnsi" w:cstheme="majorHAnsi"/>
                          <w:b/>
                          <w:sz w:val="22"/>
                          <w:szCs w:val="22"/>
                          <w:lang w:val="nl-NL"/>
                        </w:rPr>
                      </w:pPr>
                      <w:r w:rsidRPr="008D057F">
                        <w:rPr>
                          <w:rFonts w:asciiTheme="majorHAnsi" w:hAnsiTheme="majorHAnsi" w:cstheme="majorHAnsi"/>
                          <w:b/>
                          <w:sz w:val="22"/>
                          <w:szCs w:val="22"/>
                          <w:lang w:val="nl-NL"/>
                        </w:rPr>
                        <w:t>Interpretatie:</w:t>
                      </w:r>
                    </w:p>
                    <w:p w:rsidR="008D057F" w:rsidRPr="008D057F" w:rsidRDefault="008D057F" w:rsidP="002F57B5">
                      <w:pPr>
                        <w:pStyle w:val="RedBullets"/>
                        <w:numPr>
                          <w:ilvl w:val="0"/>
                          <w:numId w:val="0"/>
                        </w:numPr>
                        <w:rPr>
                          <w:rFonts w:asciiTheme="majorHAnsi" w:hAnsiTheme="majorHAnsi" w:cstheme="majorHAnsi"/>
                          <w:b/>
                          <w:sz w:val="22"/>
                          <w:szCs w:val="22"/>
                          <w:lang w:val="nl-NL"/>
                        </w:rPr>
                      </w:pPr>
                    </w:p>
                    <w:p w:rsidR="00325BDE" w:rsidRPr="008D057F" w:rsidRDefault="00890221" w:rsidP="002F57B5">
                      <w:pPr>
                        <w:pStyle w:val="RedBullets"/>
                        <w:numPr>
                          <w:ilvl w:val="0"/>
                          <w:numId w:val="0"/>
                        </w:numPr>
                        <w:rPr>
                          <w:rFonts w:asciiTheme="majorHAnsi" w:hAnsiTheme="majorHAnsi" w:cstheme="majorHAnsi"/>
                          <w:i/>
                          <w:sz w:val="22"/>
                          <w:szCs w:val="22"/>
                          <w:lang w:val="nl-NL"/>
                        </w:rPr>
                      </w:pPr>
                      <w:r w:rsidRPr="008D057F">
                        <w:rPr>
                          <w:rFonts w:asciiTheme="majorHAnsi" w:hAnsiTheme="majorHAnsi" w:cstheme="majorHAnsi"/>
                          <w:i/>
                          <w:sz w:val="22"/>
                          <w:szCs w:val="22"/>
                          <w:lang w:val="nl-NL"/>
                        </w:rPr>
                        <w:t>Een programma voor kwaliteitsbewaking en -verbetering is ontworpen om een beoordeling van de naleving door de internal-auditfunctie van de Standaarden en een evaluatie van de naleving door de internal auditors van de gedragscode mogelijk te maken. Op grond van het programma moeten ook de efficiëntie en effectiviteit van de internal-auditfunctie worden beoordeeld en de mogelijkheden voor verbetering worden geïdentificeerd. Het hoofd van de internal-auditfunctie dient toezicht door het bestuur op het programma voor kwaliteitsbewaking en -verbetering aan te moedigen.</w:t>
                      </w:r>
                    </w:p>
                    <w:p w:rsidR="002F57B5" w:rsidRPr="008D057F" w:rsidRDefault="002F57B5" w:rsidP="002F57B5">
                      <w:pPr>
                        <w:pStyle w:val="RedBullets"/>
                        <w:numPr>
                          <w:ilvl w:val="0"/>
                          <w:numId w:val="0"/>
                        </w:numPr>
                        <w:rPr>
                          <w:rFonts w:asciiTheme="majorHAnsi" w:hAnsiTheme="majorHAnsi" w:cstheme="majorHAnsi"/>
                          <w:sz w:val="22"/>
                          <w:szCs w:val="22"/>
                          <w:lang w:val="nl-NL"/>
                        </w:rPr>
                      </w:pPr>
                    </w:p>
                    <w:p w:rsidR="00365B8D" w:rsidRPr="008D057F" w:rsidRDefault="00365B8D" w:rsidP="00365B8D">
                      <w:pPr>
                        <w:pStyle w:val="RedBullets"/>
                        <w:numPr>
                          <w:ilvl w:val="0"/>
                          <w:numId w:val="0"/>
                        </w:numPr>
                        <w:jc w:val="right"/>
                        <w:rPr>
                          <w:rFonts w:asciiTheme="majorHAnsi" w:hAnsiTheme="majorHAnsi" w:cstheme="majorHAnsi"/>
                          <w:sz w:val="22"/>
                          <w:szCs w:val="22"/>
                          <w:lang w:val="nl-NL"/>
                        </w:rPr>
                      </w:pPr>
                      <w:proofErr w:type="spellStart"/>
                      <w:r w:rsidRPr="008D057F">
                        <w:rPr>
                          <w:rFonts w:asciiTheme="majorHAnsi" w:hAnsiTheme="majorHAnsi" w:cstheme="majorHAnsi"/>
                          <w:sz w:val="22"/>
                          <w:szCs w:val="22"/>
                          <w:lang w:val="nl-NL"/>
                        </w:rPr>
                        <w:t>Herziene</w:t>
                      </w:r>
                      <w:proofErr w:type="spellEnd"/>
                      <w:r w:rsidRPr="008D057F">
                        <w:rPr>
                          <w:rFonts w:asciiTheme="majorHAnsi" w:hAnsiTheme="majorHAnsi" w:cstheme="majorHAnsi"/>
                          <w:sz w:val="22"/>
                          <w:szCs w:val="22"/>
                          <w:lang w:val="nl-NL"/>
                        </w:rPr>
                        <w:t xml:space="preserve"> Standaarden die per 1 januari 2017 van kracht zijn</w:t>
                      </w:r>
                    </w:p>
                  </w:txbxContent>
                </v:textbox>
                <w10:wrap type="square" anchorx="margin" anchory="margin"/>
              </v:shape>
            </w:pict>
          </mc:Fallback>
        </mc:AlternateContent>
      </w:r>
      <w:r w:rsidR="00685768" w:rsidRPr="008D057F">
        <w:rPr>
          <w:rFonts w:cstheme="minorHAnsi"/>
          <w:noProof/>
          <w:lang w:val="nl-NL" w:eastAsia="nl-NL"/>
        </w:rPr>
        <mc:AlternateContent>
          <mc:Choice Requires="wps">
            <w:drawing>
              <wp:anchor distT="0" distB="0" distL="114300" distR="114300" simplePos="0" relativeHeight="251662336" behindDoc="0" locked="0" layoutInCell="1" allowOverlap="1" wp14:anchorId="1EC44BA1" wp14:editId="6B961549">
                <wp:simplePos x="0" y="0"/>
                <wp:positionH relativeFrom="page">
                  <wp:posOffset>2428875</wp:posOffset>
                </wp:positionH>
                <wp:positionV relativeFrom="page">
                  <wp:posOffset>923925</wp:posOffset>
                </wp:positionV>
                <wp:extent cx="4343400" cy="1600200"/>
                <wp:effectExtent l="0" t="0" r="0" b="0"/>
                <wp:wrapSquare wrapText="bothSides"/>
                <wp:docPr id="6" name="Text Box 6"/>
                <wp:cNvGraphicFramePr/>
                <a:graphic xmlns:a="http://schemas.openxmlformats.org/drawingml/2006/main">
                  <a:graphicData uri="http://schemas.microsoft.com/office/word/2010/wordprocessingShape">
                    <wps:wsp>
                      <wps:cNvSpPr txBox="1"/>
                      <wps:spPr>
                        <a:xfrm>
                          <a:off x="0" y="0"/>
                          <a:ext cx="4343400" cy="1600200"/>
                        </a:xfrm>
                        <a:prstGeom prst="rect">
                          <a:avLst/>
                        </a:prstGeom>
                        <a:noFill/>
                        <a:ln>
                          <a:noFill/>
                        </a:ln>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A10180">
                              <w:rPr>
                                <w:color w:val="FFFFFF" w:themeColor="background1"/>
                                <w:sz w:val="50"/>
                                <w:szCs w:val="50"/>
                                <w:lang w:val="nl-NL"/>
                                <w14:textOutline w14:w="9525" w14:cap="flat" w14:cmpd="sng" w14:algn="ctr">
                                  <w14:noFill/>
                                  <w14:prstDash w14:val="solid"/>
                                  <w14:round/>
                                </w14:textOutline>
                              </w:rPr>
                              <w:t>mplementatierichtlijn 130</w:t>
                            </w:r>
                            <w:r w:rsidR="002F57B5" w:rsidRPr="00E6381B">
                              <w:rPr>
                                <w:color w:val="FFFFFF" w:themeColor="background1"/>
                                <w:sz w:val="50"/>
                                <w:szCs w:val="50"/>
                                <w:lang w:val="nl-NL"/>
                                <w14:textOutline w14:w="9525" w14:cap="flat" w14:cmpd="sng" w14:algn="ctr">
                                  <w14:noFill/>
                                  <w14:prstDash w14:val="solid"/>
                                  <w14:round/>
                                </w14:textOutline>
                              </w:rPr>
                              <w:t>0</w:t>
                            </w:r>
                          </w:p>
                        </w:txbxContent>
                      </wps:txbx>
                      <wps:bodyPr rot="0" spcFirstLastPara="0" vertOverflow="overflow" horzOverflow="overflow" vert="horz" wrap="square" numCol="1" spcCol="0" rtlCol="0" fromWordArt="0" anchor="ctr" anchorCtr="0" forceAA="0" compatLnSpc="1">
                        <a:prstTxWarp prst="textNoShape">
                          <a:avLst/>
                        </a:prstTxWarp>
                      </wps:bodyPr>
                    </wps:wsp>
                  </a:graphicData>
                </a:graphic>
              </wp:anchor>
            </w:drawing>
          </mc:Choice>
          <mc:Fallback>
            <w:pict>
              <v:shape w14:anchorId="1EC44BA1" id="Text Box 6" o:spid="_x0000_s1027" type="#_x0000_t202" style="position:absolute;margin-left:191.25pt;margin-top:72.75pt;width:342pt;height:126pt;z-index:251662336;visibility:visible;mso-wrap-style:square;mso-wrap-distance-left:9pt;mso-wrap-distance-top:0;mso-wrap-distance-right:9pt;mso-wrap-distance-bottom:0;mso-position-horizontal:absolute;mso-position-horizontal-relative:page;mso-position-vertical:absolute;mso-position-vertical-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" filled="f" stroked="f">
                <v:textbox>
                  <w:txbxContent>
                    <w:p w:rsidR="002F57B5" w:rsidRPr="00E6381B" w:rsidRDefault="00665553" w:rsidP="002F57B5">
                      <w:pPr>
                        <w:pStyle w:val="Headline"/>
                        <w:jc w:val="right"/>
                        <w:rPr>
                          <w:color w:val="FFFFFF" w:themeColor="background1"/>
                          <w:sz w:val="50"/>
                          <w:szCs w:val="50"/>
                          <w14:textOutline w14:w="9525" w14:cap="flat" w14:cmpd="sng" w14:algn="ctr">
                            <w14:noFill/>
                            <w14:prstDash w14:val="solid"/>
                            <w14:round/>
                          </w14:textOutline>
                        </w:rPr>
                      </w:pPr>
                      <w:r>
                        <w:rPr>
                          <w:color w:val="FFFFFF" w:themeColor="background1"/>
                          <w:sz w:val="50"/>
                          <w:szCs w:val="50"/>
                          <w:lang w:val="nl-NL"/>
                          <w14:textOutline w14:w="9525" w14:cap="flat" w14:cmpd="sng" w14:algn="ctr">
                            <w14:noFill/>
                            <w14:prstDash w14:val="solid"/>
                            <w14:round/>
                          </w14:textOutline>
                        </w:rPr>
                        <w:t>I</w:t>
                      </w:r>
                      <w:r w:rsidR="00A10180">
                        <w:rPr>
                          <w:color w:val="FFFFFF" w:themeColor="background1"/>
                          <w:sz w:val="50"/>
                          <w:szCs w:val="50"/>
                          <w:lang w:val="nl-NL"/>
                          <w14:textOutline w14:w="9525" w14:cap="flat" w14:cmpd="sng" w14:algn="ctr">
                            <w14:noFill/>
                            <w14:prstDash w14:val="solid"/>
                            <w14:round/>
                          </w14:textOutline>
                        </w:rPr>
                        <w:t>mplementatierichtlijn 130</w:t>
                      </w:r>
                      <w:r w:rsidR="002F57B5" w:rsidRPr="00E6381B">
                        <w:rPr>
                          <w:color w:val="FFFFFF" w:themeColor="background1"/>
                          <w:sz w:val="50"/>
                          <w:szCs w:val="50"/>
                          <w:lang w:val="nl-NL"/>
                          <w14:textOutline w14:w="9525" w14:cap="flat" w14:cmpd="sng" w14:algn="ctr">
                            <w14:noFill/>
                            <w14:prstDash w14:val="solid"/>
                            <w14:round/>
                          </w14:textOutline>
                        </w:rPr>
                        <w:t>0</w:t>
                      </w:r>
                    </w:p>
                  </w:txbxContent>
                </v:textbox>
                <w10:wrap type="square" anchorx="page" anchory="page"/>
              </v:shape>
            </w:pict>
          </mc:Fallback>
        </mc:AlternateContent>
      </w:r>
    </w:p>
    <w:p w:rsidR="002F57B5" w:rsidRPr="008D057F" w:rsidRDefault="00685768" w:rsidP="002F57B5">
      <w:pPr>
        <w:pStyle w:val="TemplateHeadline"/>
        <w:rPr>
          <w:rFonts w:asciiTheme="minorHAnsi" w:hAnsiTheme="minorHAnsi" w:cstheme="minorHAnsi"/>
          <w:lang w:val="nl-NL"/>
        </w:rPr>
      </w:pPr>
      <w:r w:rsidRPr="008D057F">
        <w:rPr>
          <w:rFonts w:asciiTheme="minorHAnsi" w:hAnsiTheme="minorHAnsi" w:cstheme="minorHAnsi"/>
          <w:lang w:val="nl-NL"/>
        </w:rPr>
        <w:t xml:space="preserve">Inleiding </w:t>
      </w:r>
    </w:p>
    <w:p w:rsidR="00FE3050" w:rsidRPr="008D057F" w:rsidRDefault="00FE3050" w:rsidP="00FE305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Standaard 1300 belast het hoofd van de internal auditfunctie (CAE) met het ontwikkelen en </w:t>
      </w:r>
      <w:r w:rsidRPr="008D057F">
        <w:rPr>
          <w:rFonts w:asciiTheme="minorHAnsi" w:hAnsiTheme="minorHAnsi" w:cstheme="minorHAnsi"/>
          <w:color w:val="000000"/>
          <w:sz w:val="22"/>
          <w:szCs w:val="22"/>
          <w:lang w:val="nl-NL"/>
        </w:rPr>
        <w:lastRenderedPageBreak/>
        <w:t>onderhouden van een uitgebreid programma voor kwaliteitsbewaking en -verbetering (</w:t>
      </w:r>
      <w:proofErr w:type="spellStart"/>
      <w:r w:rsidRPr="008D057F">
        <w:rPr>
          <w:rFonts w:asciiTheme="minorHAnsi" w:hAnsiTheme="minorHAnsi" w:cstheme="minorHAnsi"/>
          <w:color w:val="000000"/>
          <w:sz w:val="22"/>
          <w:szCs w:val="22"/>
          <w:lang w:val="nl-NL"/>
        </w:rPr>
        <w:t>quality</w:t>
      </w:r>
      <w:proofErr w:type="spellEnd"/>
      <w:r w:rsidRPr="008D057F">
        <w:rPr>
          <w:rFonts w:asciiTheme="minorHAnsi" w:hAnsiTheme="minorHAnsi" w:cstheme="minorHAnsi"/>
          <w:color w:val="000000"/>
          <w:sz w:val="22"/>
          <w:szCs w:val="22"/>
          <w:lang w:val="nl-NL"/>
        </w:rPr>
        <w:t xml:space="preserve"> assurance </w:t>
      </w:r>
      <w:proofErr w:type="spellStart"/>
      <w:r w:rsidRPr="008D057F">
        <w:rPr>
          <w:rFonts w:asciiTheme="minorHAnsi" w:hAnsiTheme="minorHAnsi" w:cstheme="minorHAnsi"/>
          <w:color w:val="000000"/>
          <w:sz w:val="22"/>
          <w:szCs w:val="22"/>
          <w:lang w:val="nl-NL"/>
        </w:rPr>
        <w:t>and</w:t>
      </w:r>
      <w:proofErr w:type="spellEnd"/>
      <w:r w:rsidRPr="008D057F">
        <w:rPr>
          <w:rFonts w:asciiTheme="minorHAnsi" w:hAnsiTheme="minorHAnsi" w:cstheme="minorHAnsi"/>
          <w:color w:val="000000"/>
          <w:sz w:val="22"/>
          <w:szCs w:val="22"/>
          <w:lang w:val="nl-NL"/>
        </w:rPr>
        <w:t xml:space="preserve"> </w:t>
      </w:r>
      <w:proofErr w:type="spellStart"/>
      <w:r w:rsidRPr="008D057F">
        <w:rPr>
          <w:rFonts w:asciiTheme="minorHAnsi" w:hAnsiTheme="minorHAnsi" w:cstheme="minorHAnsi"/>
          <w:color w:val="000000"/>
          <w:sz w:val="22"/>
          <w:szCs w:val="22"/>
          <w:lang w:val="nl-NL"/>
        </w:rPr>
        <w:t>improvement</w:t>
      </w:r>
      <w:proofErr w:type="spellEnd"/>
      <w:r w:rsidRPr="008D057F">
        <w:rPr>
          <w:rFonts w:asciiTheme="minorHAnsi" w:hAnsiTheme="minorHAnsi" w:cstheme="minorHAnsi"/>
          <w:color w:val="000000"/>
          <w:sz w:val="22"/>
          <w:szCs w:val="22"/>
          <w:lang w:val="nl-NL"/>
        </w:rPr>
        <w:t xml:space="preserve"> program (QAIP)). Het QAIP dient alle aspecten van de uitvoering en het beheer van de internal auditfunctie — inclusief adviesopdrachten — te omvatten, zoals aangetroffen in de verplichte elementen van het internationale raamwerk voor de beroepsuitoefening (International Professional </w:t>
      </w:r>
      <w:proofErr w:type="spellStart"/>
      <w:r w:rsidRPr="008D057F">
        <w:rPr>
          <w:rFonts w:asciiTheme="minorHAnsi" w:hAnsiTheme="minorHAnsi" w:cstheme="minorHAnsi"/>
          <w:color w:val="000000"/>
          <w:sz w:val="22"/>
          <w:szCs w:val="22"/>
          <w:lang w:val="nl-NL"/>
        </w:rPr>
        <w:t>Practices</w:t>
      </w:r>
      <w:proofErr w:type="spellEnd"/>
      <w:r w:rsidRPr="008D057F">
        <w:rPr>
          <w:rFonts w:asciiTheme="minorHAnsi" w:hAnsiTheme="minorHAnsi" w:cstheme="minorHAnsi"/>
          <w:color w:val="000000"/>
          <w:sz w:val="22"/>
          <w:szCs w:val="22"/>
          <w:lang w:val="nl-NL"/>
        </w:rPr>
        <w:t xml:space="preserve"> Framework (IPPF)). Het kan ook gunstig zijn voor het QAIP om de beste praktijken in het internal auditberoep te overwegen. </w:t>
      </w:r>
    </w:p>
    <w:p w:rsidR="00FE3050" w:rsidRPr="008D057F" w:rsidRDefault="00FE3050" w:rsidP="00FE305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QAIP is ontworpen om te beoordelen in hoeverre de internal auditfunctie voldoet aan Internationale Standaarden voor de Beroepsuitoefening van internal auditing ( Standaarden) en of internal auditors de Gedragscode van het IIA toepassen. Het QAIP moet als zodanig zowel lopende en periodieke interne evaluaties als externe evaluaties door een gekwalificeerde onafhankelijk(e) beoordelaar of beoordelingsteam bevatten (zie standaard 1310 – Vereisten van het programma voor kwaliteitsbewaking en -verbetering). </w:t>
      </w:r>
    </w:p>
    <w:p w:rsidR="00FE3050" w:rsidRPr="008D057F" w:rsidRDefault="00FE3050" w:rsidP="00FE305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De CAE moet een grondig inzicht hebben in de verplichte elementen van het IPPF, met name de standaarden en de Gedragscode . De CAE vergadert normaliter met het bestuur om inzicht te krijgen in de verwachtingen voor de internal auditfunctie, om het belang van de Standaarden en het QAIP te bespreken en de steun van het bestuur hiervoor te bevorderen.</w:t>
      </w:r>
    </w:p>
    <w:p w:rsidR="002C0B84" w:rsidRPr="008D057F" w:rsidRDefault="00FE3050" w:rsidP="00FE305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De CAE geeft doorgaans voorbeelden van hoe </w:t>
      </w:r>
      <w:proofErr w:type="spellStart"/>
      <w:r w:rsidRPr="008D057F">
        <w:rPr>
          <w:rFonts w:asciiTheme="minorHAnsi" w:hAnsiTheme="minorHAnsi" w:cstheme="minorHAnsi"/>
          <w:color w:val="000000"/>
          <w:sz w:val="22"/>
          <w:szCs w:val="22"/>
          <w:lang w:val="nl-NL"/>
        </w:rPr>
        <w:t>QAIP's</w:t>
      </w:r>
      <w:proofErr w:type="spellEnd"/>
      <w:r w:rsidRPr="008D057F">
        <w:rPr>
          <w:rFonts w:asciiTheme="minorHAnsi" w:hAnsiTheme="minorHAnsi" w:cstheme="minorHAnsi"/>
          <w:color w:val="000000"/>
          <w:sz w:val="22"/>
          <w:szCs w:val="22"/>
          <w:lang w:val="nl-NL"/>
        </w:rPr>
        <w:t xml:space="preserve"> worden ontwikkeld en geïmplementeerd in andere organisaties — met name die van soortgelijke aard en volwassenheid — voor benchmarking. De CAE kan daarnaast de IIA Supplemental </w:t>
      </w:r>
      <w:proofErr w:type="spellStart"/>
      <w:r w:rsidRPr="008D057F">
        <w:rPr>
          <w:rFonts w:asciiTheme="minorHAnsi" w:hAnsiTheme="minorHAnsi" w:cstheme="minorHAnsi"/>
          <w:color w:val="000000"/>
          <w:sz w:val="22"/>
          <w:szCs w:val="22"/>
          <w:lang w:val="nl-NL"/>
        </w:rPr>
        <w:t>Guidance</w:t>
      </w:r>
      <w:proofErr w:type="spellEnd"/>
      <w:r w:rsidRPr="008D057F">
        <w:rPr>
          <w:rFonts w:asciiTheme="minorHAnsi" w:hAnsiTheme="minorHAnsi" w:cstheme="minorHAnsi"/>
          <w:color w:val="000000"/>
          <w:sz w:val="22"/>
          <w:szCs w:val="22"/>
          <w:lang w:val="nl-NL"/>
        </w:rPr>
        <w:t xml:space="preserve"> en andere gepubliceerde richtlijnen met betrekking tot dit onderwerp wensen te raadplegen, met inbegrip van de Handleiding kwaliteitsbeoordeling voor de internal auditfunctie van het IIA.</w:t>
      </w:r>
    </w:p>
    <w:p w:rsidR="00FE3050" w:rsidRPr="008D057F" w:rsidRDefault="00FE3050" w:rsidP="00FE3050">
      <w:pPr>
        <w:pStyle w:val="TemplateHeadline"/>
        <w:rPr>
          <w:rFonts w:asciiTheme="minorHAnsi" w:hAnsiTheme="minorHAnsi" w:cstheme="minorHAnsi"/>
          <w:color w:val="000000"/>
          <w:sz w:val="22"/>
          <w:szCs w:val="22"/>
          <w:lang w:val="nl-NL"/>
        </w:rPr>
      </w:pPr>
    </w:p>
    <w:p w:rsidR="002F57B5" w:rsidRPr="008D057F" w:rsidRDefault="00685768" w:rsidP="002F57B5">
      <w:pPr>
        <w:pStyle w:val="TemplateHeadline"/>
        <w:rPr>
          <w:rFonts w:asciiTheme="minorHAnsi" w:hAnsiTheme="minorHAnsi" w:cstheme="minorHAnsi"/>
          <w:lang w:val="nl-NL"/>
        </w:rPr>
      </w:pPr>
      <w:r w:rsidRPr="008D057F">
        <w:rPr>
          <w:rFonts w:asciiTheme="minorHAnsi" w:hAnsiTheme="minorHAnsi" w:cstheme="minorHAnsi"/>
          <w:lang w:val="nl-NL"/>
        </w:rPr>
        <w:t xml:space="preserve">Overwegingen bij de implementatie </w:t>
      </w:r>
    </w:p>
    <w:p w:rsidR="001E4FDE" w:rsidRPr="008D057F" w:rsidRDefault="001E4FDE" w:rsidP="001E4FDE">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Een goed ontwikkeld QAIP waarborgt dat het concept van kwaliteit is ingebed in de internal auditfunctie en al haar activiteiten. De internal auditfunctie hoeft niet te beoordelen of elke afzonderlijke opdracht voldoet aan de Standaarden . In plaats daarvan dienen opdrachten te worden uitgevoerd volgens een vastgestelde methodologie die kwaliteit en, standaard, naleving van de Standaarden bevordert. Bovendien bevordert de methodologie doorgaans voortdurende verbetering van de internal auditfunctie. </w:t>
      </w:r>
    </w:p>
    <w:p w:rsidR="001E4FDE" w:rsidRPr="008D057F" w:rsidRDefault="001E4FDE" w:rsidP="001E4FDE">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Zoals de standaard 1300 vereist, ontwikkelt en onderhoudt de CAE een QAIP dat alle aspecten van de </w:t>
      </w:r>
      <w:r w:rsidRPr="008D057F">
        <w:rPr>
          <w:rFonts w:asciiTheme="minorHAnsi" w:hAnsiTheme="minorHAnsi" w:cstheme="minorHAnsi"/>
          <w:color w:val="000000"/>
          <w:sz w:val="22"/>
          <w:szCs w:val="22"/>
          <w:lang w:val="nl-NL"/>
        </w:rPr>
        <w:lastRenderedPageBreak/>
        <w:t xml:space="preserve">internal auditfunctie omvat. Het uiteindelijke doel is een internal auditfunctie te ontwikkelen waarbij reikwijdte en kwaliteit van de werkzaamheden voldoen aan de Standaarden en toepassing van de Gedragscode. Het QAIP maakt het mogelijk om een internal auditfunctie te beoordelen op naleving van de Standaarden en te bepalen of internal auditors de Gedragscode toepassen. Het QAIP omvat als zodanig beoordelingen van de efficiëntie en effectiviteit van de internal auditfunctie, die mogelijkheden voor verbetering helpen identificeren. </w:t>
      </w:r>
    </w:p>
    <w:p w:rsidR="002F57B5" w:rsidRPr="008D057F" w:rsidRDefault="001E4FDE" w:rsidP="001E4FDE">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De CAE evalueert het QAIP periodiek en werkt deze zo nodig bij. Als de internal auditfunctie, bijvoorbeeld, volwassener wordt of als omstandigheden binnen de internal auditfunctie veranderen, kunnen aanpassingen aan het QAIP noodzakelijk worden om ervoor te zorgen dat het op een effectieve en efficiënte manier blijft functioneren en om stakeholders ervan te verzekeren dat het meerwaarde biedt door de activiteiten van de organisatie te verbeteren.</w:t>
      </w:r>
    </w:p>
    <w:p w:rsidR="001E4FDE" w:rsidRPr="008D057F" w:rsidRDefault="001E4FDE" w:rsidP="001E4FDE">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Om de standaard 1300 te implementeren, moet de CAE de vereisten met betrekking de vijf essentiële onderdelen ervan overwegen: </w:t>
      </w:r>
    </w:p>
    <w:p w:rsidR="001E4FDE" w:rsidRPr="008D057F" w:rsidRDefault="001E4FDE" w:rsidP="001E4FDE">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Interne evaluaties (Standaard 1311).</w:t>
      </w:r>
    </w:p>
    <w:p w:rsidR="001E4FDE" w:rsidRPr="008D057F" w:rsidRDefault="001E4FDE" w:rsidP="001E4FDE">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Externe evaluaties (Standaard 1312).</w:t>
      </w:r>
    </w:p>
    <w:p w:rsidR="001E4FDE" w:rsidRPr="008D057F" w:rsidRDefault="001E4FDE" w:rsidP="001E4FDE">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Communicatie van de resultaten van het QAIP (Standaard 1320).</w:t>
      </w:r>
    </w:p>
    <w:p w:rsidR="001E4FDE" w:rsidRPr="008D057F" w:rsidRDefault="001E4FDE" w:rsidP="001E4FDE">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Goed gebruik van een nalevingsverklaring (Standaard 1321).</w:t>
      </w:r>
    </w:p>
    <w:p w:rsidR="001E4FDE" w:rsidRPr="008D057F" w:rsidRDefault="001E4FDE" w:rsidP="001E4FDE">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Melding van niet-naleving (1322).</w:t>
      </w:r>
    </w:p>
    <w:p w:rsidR="001E4FDE" w:rsidRPr="008D057F" w:rsidRDefault="001E4FDE" w:rsidP="001E4FDE">
      <w:pPr>
        <w:pStyle w:val="TemplateHeadline"/>
        <w:rPr>
          <w:rFonts w:asciiTheme="minorHAnsi" w:hAnsiTheme="minorHAnsi" w:cstheme="minorHAnsi"/>
          <w:color w:val="000000"/>
          <w:sz w:val="22"/>
          <w:szCs w:val="22"/>
          <w:lang w:val="nl-NL"/>
        </w:rPr>
      </w:pPr>
    </w:p>
    <w:p w:rsidR="00DD0AE2" w:rsidRPr="008D057F" w:rsidRDefault="00DD0AE2" w:rsidP="00DD0AE2">
      <w:pPr>
        <w:pStyle w:val="Kop2"/>
        <w:rPr>
          <w:rFonts w:asciiTheme="minorHAnsi" w:hAnsiTheme="minorHAnsi" w:cstheme="minorHAnsi"/>
          <w:sz w:val="22"/>
          <w:szCs w:val="22"/>
          <w:lang w:val="nl-NL"/>
        </w:rPr>
      </w:pPr>
      <w:r w:rsidRPr="008D057F">
        <w:rPr>
          <w:rFonts w:asciiTheme="minorHAnsi" w:hAnsiTheme="minorHAnsi" w:cstheme="minorHAnsi"/>
          <w:sz w:val="22"/>
          <w:szCs w:val="22"/>
          <w:lang w:val="nl-NL"/>
        </w:rPr>
        <w:t>Interne evaluaties</w:t>
      </w:r>
    </w:p>
    <w:p w:rsidR="00DD0AE2" w:rsidRPr="008D057F" w:rsidRDefault="00DD0AE2" w:rsidP="00DD0AE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Interne evaluaties bestaan uit voortdurende bewaking en periodieke zelfevaluaties (zie Standaard 1311 – Interne evaluaties), waarin de naleving van de verplichte elementen van het IPPF door de internal auditfunctie wordt beoordeeld, alsmede de kwaliteit van en het toezicht op de uitgevoerde auditwerkzaamheden, de </w:t>
      </w:r>
      <w:proofErr w:type="spellStart"/>
      <w:r w:rsidRPr="008D057F">
        <w:rPr>
          <w:rFonts w:asciiTheme="minorHAnsi" w:hAnsiTheme="minorHAnsi" w:cstheme="minorHAnsi"/>
          <w:color w:val="000000"/>
          <w:sz w:val="22"/>
          <w:szCs w:val="22"/>
          <w:lang w:val="nl-NL"/>
        </w:rPr>
        <w:t>toereikendheid</w:t>
      </w:r>
      <w:proofErr w:type="spellEnd"/>
      <w:r w:rsidRPr="008D057F">
        <w:rPr>
          <w:rFonts w:asciiTheme="minorHAnsi" w:hAnsiTheme="minorHAnsi" w:cstheme="minorHAnsi"/>
          <w:color w:val="000000"/>
          <w:sz w:val="22"/>
          <w:szCs w:val="22"/>
          <w:lang w:val="nl-NL"/>
        </w:rPr>
        <w:t xml:space="preserve"> van internal auditbeleid en -procedures, de meerwaarde die de internal auditfunctie biedt aan de organisatie en de vaststelling en het bereiken van belangrijke prestatie-indicatoren. </w:t>
      </w:r>
    </w:p>
    <w:p w:rsidR="00DD0AE2" w:rsidRPr="008D057F" w:rsidRDefault="00DD0AE2" w:rsidP="00DD0AE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De CAE dient te zorgen voor voortdurende bewaking en dient te waarborgen dat de internal auditfunctie periodiek wordt beoordeeld. Voortdurende bewaking wordt vooral bereikt door middel van doorlopende activiteiten, zoals planning van en toezicht op opdrachten, gestandaardiseerde werkpraktijken, werkdocumentprocedures en </w:t>
      </w:r>
      <w:proofErr w:type="spellStart"/>
      <w:r w:rsidRPr="008D057F">
        <w:rPr>
          <w:rFonts w:asciiTheme="minorHAnsi" w:hAnsiTheme="minorHAnsi" w:cstheme="minorHAnsi"/>
          <w:color w:val="000000"/>
          <w:sz w:val="22"/>
          <w:szCs w:val="22"/>
          <w:lang w:val="nl-NL"/>
        </w:rPr>
        <w:t>signoffs</w:t>
      </w:r>
      <w:proofErr w:type="spellEnd"/>
      <w:r w:rsidRPr="008D057F">
        <w:rPr>
          <w:rFonts w:asciiTheme="minorHAnsi" w:hAnsiTheme="minorHAnsi" w:cstheme="minorHAnsi"/>
          <w:color w:val="000000"/>
          <w:sz w:val="22"/>
          <w:szCs w:val="22"/>
          <w:lang w:val="nl-NL"/>
        </w:rPr>
        <w:t xml:space="preserve">, rapportbeoordelingen, evenals identificatie van eventuele zwakke punten of gebieden die verbeteringen behoeven en actieplannen om ze aan te </w:t>
      </w:r>
      <w:r w:rsidRPr="008D057F">
        <w:rPr>
          <w:rFonts w:asciiTheme="minorHAnsi" w:hAnsiTheme="minorHAnsi" w:cstheme="minorHAnsi"/>
          <w:color w:val="000000"/>
          <w:sz w:val="22"/>
          <w:szCs w:val="22"/>
          <w:lang w:val="nl-NL"/>
        </w:rPr>
        <w:lastRenderedPageBreak/>
        <w:t xml:space="preserve">pakken. Voortdurende bewaking helpt de CAE per opdracht vast te stellen of internal auditprocessen kwaliteit leveren. </w:t>
      </w:r>
    </w:p>
    <w:p w:rsidR="00DD0AE2" w:rsidRPr="008D057F" w:rsidRDefault="00DD0AE2" w:rsidP="00DD0AE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Periodieke zelfevaluaties worden uitgevoerd om te valideren dat voortdurende bewaking effectief functioneert en om te beoordelen of de internal auditfunctie in overeenstemming is met de Standaarden en of internal auditors de Gedragscode toepassen. Door de Standaarden en de Gedragscode in acht te nemen, bereikt de internal auditfunctie ook afstemming op de definitie van internal auditing en de kernbeginselen van de beroepsuitoefening van internal auditing. </w:t>
      </w:r>
    </w:p>
    <w:p w:rsidR="00DD0AE2" w:rsidRPr="008D057F" w:rsidRDefault="00DD0AE2" w:rsidP="00DD0AE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Implementatierichtlijn 1311 – Interne evaluaties – biedt verdere richtlijnen met betrekking tot de QAIP-vereisten voor interne evaluaties.</w:t>
      </w:r>
    </w:p>
    <w:p w:rsidR="000D1A20" w:rsidRPr="008D057F" w:rsidRDefault="000D1A20" w:rsidP="000D1A20">
      <w:pPr>
        <w:pStyle w:val="Geenafstand"/>
        <w:rPr>
          <w:rFonts w:cstheme="minorHAnsi"/>
          <w:sz w:val="22"/>
          <w:szCs w:val="22"/>
          <w:lang w:val="nl-NL"/>
        </w:rPr>
      </w:pPr>
    </w:p>
    <w:p w:rsidR="000D1A20" w:rsidRPr="008D057F" w:rsidRDefault="000D1A20" w:rsidP="000D1A20">
      <w:pPr>
        <w:pStyle w:val="Kop2"/>
        <w:rPr>
          <w:rFonts w:asciiTheme="minorHAnsi" w:hAnsiTheme="minorHAnsi" w:cstheme="minorHAnsi"/>
          <w:sz w:val="22"/>
          <w:szCs w:val="22"/>
          <w:lang w:val="nl-NL"/>
        </w:rPr>
      </w:pPr>
      <w:r w:rsidRPr="008D057F">
        <w:rPr>
          <w:rFonts w:asciiTheme="minorHAnsi" w:hAnsiTheme="minorHAnsi" w:cstheme="minorHAnsi"/>
          <w:sz w:val="22"/>
          <w:szCs w:val="22"/>
          <w:lang w:val="nl-NL"/>
        </w:rPr>
        <w:t>Externe evaluaties</w:t>
      </w:r>
    </w:p>
    <w:p w:rsidR="000D1A20" w:rsidRPr="008D057F" w:rsidRDefault="000D1A20" w:rsidP="000D1A2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 xml:space="preserve">Naast de interne evaluaties heeft de CAE de verantwoordelijkheid om ervoor te zorgen dat de internal auditfunctie ten minste eenmaal per vijf jaar een externe evaluatie uitvoert (zie Standaard 1312 - Externe Evaluaties). Het doel van de evaluatie, die door een onafhankelijke beoordelaar of beoordelingsteam van buiten de organisatie moet worden uitgevoerd, is om te valideren of de internal auditfunctie voldoet aan de Standaarden en of internal auditors de Gedragscode toepassen. </w:t>
      </w:r>
    </w:p>
    <w:p w:rsidR="000D1A20" w:rsidRPr="008D057F" w:rsidRDefault="000D1A20" w:rsidP="000D1A2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Er kan een zelfevaluatie worden uitgevoerd in plaats van een volledige externe evaluatie, mits deze door een gekwalificeerde, onafhankelijke, bevoegde en professionele externe beoordelaar wordt gevalideerd. In dergelijke gevallen zou de reikwijdte van de zelfevaluatie met externe onafhankelijke validatie bestaan uit een uitgebreid en volledig gedocumenteerd zelfevaluatieproces dat het volledige externe proces nabootst, en een onafhankelijke validatie op locatie door een gekwalificeerde, onafhankelijke beoordelaar.</w:t>
      </w:r>
    </w:p>
    <w:p w:rsidR="000D1A20" w:rsidRPr="008D057F" w:rsidRDefault="000D1A20" w:rsidP="000D1A20">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Implementatierichtlijn 1312 – Externe evaluaties biedt verdere richtlijnen met betrekking tot de QAIP-vereisten voor externe evaluaties.</w:t>
      </w:r>
    </w:p>
    <w:p w:rsidR="00CB2532" w:rsidRPr="008D057F" w:rsidRDefault="00CB2532" w:rsidP="00CB2532">
      <w:pPr>
        <w:pStyle w:val="Geenafstand"/>
        <w:rPr>
          <w:rFonts w:cstheme="minorHAnsi"/>
          <w:sz w:val="22"/>
          <w:szCs w:val="22"/>
          <w:lang w:val="nl-NL"/>
        </w:rPr>
      </w:pPr>
    </w:p>
    <w:p w:rsidR="00CB2532" w:rsidRPr="008D057F" w:rsidRDefault="00CB2532" w:rsidP="00CB2532">
      <w:pPr>
        <w:pStyle w:val="Kop2"/>
        <w:rPr>
          <w:rFonts w:asciiTheme="minorHAnsi" w:hAnsiTheme="minorHAnsi" w:cstheme="minorHAnsi"/>
          <w:sz w:val="22"/>
          <w:szCs w:val="22"/>
          <w:lang w:val="nl-NL"/>
        </w:rPr>
      </w:pPr>
      <w:r w:rsidRPr="008D057F">
        <w:rPr>
          <w:rFonts w:asciiTheme="minorHAnsi" w:hAnsiTheme="minorHAnsi" w:cstheme="minorHAnsi"/>
          <w:sz w:val="22"/>
          <w:szCs w:val="22"/>
          <w:lang w:val="nl-NL"/>
        </w:rPr>
        <w:t>Communicatie van QAIP-resultaten</w:t>
      </w:r>
    </w:p>
    <w:p w:rsidR="00CB2532" w:rsidRPr="008D057F" w:rsidRDefault="00CB2532" w:rsidP="00CB253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De CAE moet de uitkomsten van het QAIP bekendmaken aan het senior management en het bestuur, zoals vermeld in Standaard 1320 – Rapportering over het kwaliteitsbewakings- en -verbeterprogramma. Deze bekendmaking dient het volgende te omvatten:</w:t>
      </w:r>
    </w:p>
    <w:p w:rsidR="00CB2532" w:rsidRPr="008D057F" w:rsidRDefault="00CB2532" w:rsidP="00CB2532">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De reikwijdte en de frequentie van zowel de interne als externe evaluaties.</w:t>
      </w:r>
    </w:p>
    <w:p w:rsidR="00CB2532" w:rsidRPr="008D057F" w:rsidRDefault="00CB2532" w:rsidP="00CB2532">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De kwalificaties en onafhankelijkheid van de beoordelaar(s) of het beoordelingsteam.</w:t>
      </w:r>
    </w:p>
    <w:p w:rsidR="00CB2532" w:rsidRPr="008D057F" w:rsidRDefault="00CB2532" w:rsidP="00CB2532">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lastRenderedPageBreak/>
        <w:t>De conclusies van de beoordelaars.</w:t>
      </w:r>
    </w:p>
    <w:p w:rsidR="00CB2532" w:rsidRPr="008D057F" w:rsidRDefault="00CB2532" w:rsidP="00CB2532">
      <w:pPr>
        <w:pStyle w:val="RedBullets"/>
        <w:rPr>
          <w:rFonts w:asciiTheme="minorHAnsi" w:hAnsiTheme="minorHAnsi" w:cstheme="minorHAnsi"/>
          <w:sz w:val="22"/>
          <w:szCs w:val="22"/>
          <w:lang w:val="nl-NL"/>
        </w:rPr>
      </w:pPr>
      <w:r w:rsidRPr="008D057F">
        <w:rPr>
          <w:rFonts w:asciiTheme="minorHAnsi" w:hAnsiTheme="minorHAnsi" w:cstheme="minorHAnsi"/>
          <w:sz w:val="22"/>
          <w:szCs w:val="22"/>
          <w:lang w:val="nl-NL"/>
        </w:rPr>
        <w:t xml:space="preserve">Eventuele actieplannen met corrigerende maatregelen op basis van de evaluaties om zaken aan te pakken die niet in overeenstemming waren met de Standaarden, samen met mogelijkheden voor verbetering. </w:t>
      </w:r>
    </w:p>
    <w:p w:rsidR="007373A7" w:rsidRPr="008D057F" w:rsidRDefault="007373A7" w:rsidP="00CB2532">
      <w:pPr>
        <w:pStyle w:val="TemplateHeadline"/>
        <w:rPr>
          <w:rFonts w:asciiTheme="minorHAnsi" w:hAnsiTheme="minorHAnsi" w:cstheme="minorHAnsi"/>
          <w:color w:val="000000"/>
          <w:sz w:val="22"/>
          <w:szCs w:val="22"/>
          <w:lang w:val="nl-NL"/>
        </w:rPr>
      </w:pPr>
    </w:p>
    <w:p w:rsidR="000D1A20" w:rsidRPr="008D057F" w:rsidRDefault="00CB2532" w:rsidP="00CB2532">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Implementatierichtlijn 1320 – Rapportering over het kwaliteitsbewakings- en verbeterprogramma geeft verdere richtlijnen voor QAIP-rapportage.</w:t>
      </w:r>
    </w:p>
    <w:p w:rsidR="00EE0963" w:rsidRPr="008D057F" w:rsidRDefault="00EE0963" w:rsidP="00EE0963">
      <w:pPr>
        <w:pStyle w:val="Geenafstand"/>
        <w:rPr>
          <w:rFonts w:cstheme="minorHAnsi"/>
          <w:sz w:val="22"/>
          <w:szCs w:val="22"/>
          <w:lang w:val="nl-NL"/>
        </w:rPr>
      </w:pPr>
    </w:p>
    <w:p w:rsidR="00EE0963" w:rsidRPr="008D057F" w:rsidRDefault="00EE0963" w:rsidP="00EE0963">
      <w:pPr>
        <w:pStyle w:val="Kop2"/>
        <w:rPr>
          <w:rFonts w:asciiTheme="minorHAnsi" w:hAnsiTheme="minorHAnsi" w:cstheme="minorHAnsi"/>
          <w:sz w:val="22"/>
          <w:szCs w:val="22"/>
          <w:lang w:val="nl-NL"/>
        </w:rPr>
      </w:pPr>
      <w:r w:rsidRPr="008D057F">
        <w:rPr>
          <w:rFonts w:asciiTheme="minorHAnsi" w:hAnsiTheme="minorHAnsi" w:cstheme="minorHAnsi"/>
          <w:sz w:val="22"/>
          <w:szCs w:val="22"/>
          <w:lang w:val="nl-NL"/>
        </w:rPr>
        <w:t>Juist gebruik van een nalevingsverklaring</w:t>
      </w:r>
    </w:p>
    <w:p w:rsidR="00EE0963" w:rsidRPr="008D057F" w:rsidRDefault="00EE0963" w:rsidP="00EE0963">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De internal auditfunctie mag slechts schriftelijk of mondeling meedelen dat de internal auditfunctie voldoet aan de Standaarden indien de resultaten van zowel de interne als externe evaluaties van het QAIP een dergelijke verklaring ondersteunen. Implementatierichtlijn 1321 – Gebruik van de uitdrukking "In overeenstemming met de Internationale Standaarden voor de Beroepsuitoefening van internal auditing" geeft verdere richtlijnen voor het correcte gebruik van een nalevingsverklaring.</w:t>
      </w:r>
    </w:p>
    <w:p w:rsidR="00EE0963" w:rsidRPr="008D057F" w:rsidRDefault="00EE0963" w:rsidP="00EE0963">
      <w:pPr>
        <w:pStyle w:val="Geenafstand"/>
        <w:rPr>
          <w:rFonts w:cstheme="minorHAnsi"/>
          <w:sz w:val="22"/>
          <w:szCs w:val="22"/>
          <w:lang w:val="nl-NL"/>
        </w:rPr>
      </w:pPr>
    </w:p>
    <w:p w:rsidR="00EE0963" w:rsidRPr="008D057F" w:rsidRDefault="00EE0963" w:rsidP="00EE0963">
      <w:pPr>
        <w:pStyle w:val="Kop2"/>
        <w:rPr>
          <w:rFonts w:asciiTheme="minorHAnsi" w:hAnsiTheme="minorHAnsi" w:cstheme="minorHAnsi"/>
          <w:sz w:val="22"/>
          <w:szCs w:val="22"/>
          <w:lang w:val="nl-NL"/>
        </w:rPr>
      </w:pPr>
      <w:r w:rsidRPr="008D057F">
        <w:rPr>
          <w:rFonts w:asciiTheme="minorHAnsi" w:hAnsiTheme="minorHAnsi" w:cstheme="minorHAnsi"/>
          <w:sz w:val="22"/>
          <w:szCs w:val="22"/>
          <w:lang w:val="nl-NL"/>
        </w:rPr>
        <w:t>Melding van niet-naleving</w:t>
      </w:r>
    </w:p>
    <w:p w:rsidR="00EE0963" w:rsidRPr="008D057F" w:rsidRDefault="00EE0963" w:rsidP="00EE0963">
      <w:pPr>
        <w:pStyle w:val="TemplateHeadline"/>
        <w:rPr>
          <w:rFonts w:asciiTheme="minorHAnsi" w:hAnsiTheme="minorHAnsi" w:cstheme="minorHAnsi"/>
          <w:color w:val="000000"/>
          <w:sz w:val="22"/>
          <w:szCs w:val="22"/>
          <w:lang w:val="nl-NL"/>
        </w:rPr>
      </w:pPr>
      <w:r w:rsidRPr="008D057F">
        <w:rPr>
          <w:rFonts w:asciiTheme="minorHAnsi" w:hAnsiTheme="minorHAnsi" w:cstheme="minorHAnsi"/>
          <w:color w:val="000000"/>
          <w:sz w:val="22"/>
          <w:szCs w:val="22"/>
          <w:lang w:val="nl-NL"/>
        </w:rPr>
        <w:t>Indien in een interne of externe evaluatie wordt geconcludeerd dat de internal auditfunctie niet in overeenstemming is met de verplichte elementen van het IPPF en het gebrek aan overeenstemming invloed heeft op de algehele reikwijdte of werking van de internal auditfunctie, moet de CAE de niet-naleving en de impact daarvan aan het senior management en het bestuur melden. Implementatierichtlijn 1322 – Melding van niet-naleving biedt verdere richtlijnen met betrekking tot het hoe en wanneer van het melden van niet-naleving.</w:t>
      </w:r>
    </w:p>
    <w:p w:rsidR="00DD0AE2" w:rsidRPr="008D057F" w:rsidRDefault="00DD0AE2" w:rsidP="00DD0AE2">
      <w:pPr>
        <w:pStyle w:val="TemplateHeadline"/>
        <w:rPr>
          <w:rFonts w:asciiTheme="minorHAnsi" w:hAnsiTheme="minorHAnsi" w:cstheme="minorHAnsi"/>
          <w:color w:val="000000"/>
          <w:sz w:val="22"/>
          <w:szCs w:val="22"/>
          <w:lang w:val="nl-NL"/>
        </w:rPr>
      </w:pPr>
    </w:p>
    <w:p w:rsidR="002F57B5" w:rsidRPr="008D057F" w:rsidRDefault="00685768" w:rsidP="002F57B5">
      <w:pPr>
        <w:pStyle w:val="TemplateHeadline"/>
        <w:rPr>
          <w:rFonts w:asciiTheme="minorHAnsi" w:hAnsiTheme="minorHAnsi" w:cstheme="minorHAnsi"/>
          <w:lang w:val="nl-NL"/>
        </w:rPr>
      </w:pPr>
      <w:r w:rsidRPr="008D057F">
        <w:rPr>
          <w:rFonts w:asciiTheme="minorHAnsi" w:hAnsiTheme="minorHAnsi" w:cstheme="minorHAnsi"/>
          <w:lang w:val="nl-NL"/>
        </w:rPr>
        <w:t>Overwegingen b</w:t>
      </w:r>
      <w:r w:rsidR="002F57B5" w:rsidRPr="008D057F">
        <w:rPr>
          <w:rFonts w:asciiTheme="minorHAnsi" w:hAnsiTheme="minorHAnsi" w:cstheme="minorHAnsi"/>
          <w:lang w:val="nl-NL"/>
        </w:rPr>
        <w:t>ij het aantonen van de naleving</w:t>
      </w:r>
    </w:p>
    <w:p w:rsidR="005C5335" w:rsidRPr="008D057F" w:rsidRDefault="005C5335" w:rsidP="00443735">
      <w:pPr>
        <w:pStyle w:val="TemplateBodyText"/>
        <w:rPr>
          <w:rFonts w:asciiTheme="minorHAnsi" w:hAnsiTheme="minorHAnsi" w:cstheme="minorHAnsi"/>
          <w:sz w:val="22"/>
          <w:szCs w:val="22"/>
          <w:lang w:val="nl-NL"/>
        </w:rPr>
      </w:pPr>
      <w:r w:rsidRPr="008D057F">
        <w:rPr>
          <w:rFonts w:asciiTheme="minorHAnsi" w:hAnsiTheme="minorHAnsi" w:cstheme="minorHAnsi"/>
          <w:sz w:val="22"/>
          <w:szCs w:val="22"/>
          <w:lang w:val="nl-NL"/>
        </w:rPr>
        <w:t xml:space="preserve">Meerdere activiteiten en documenten kunnen laten zien dat Standaard 1300 is nageleefd. De meest opvallende daarvan zijn het gedocumenteerde QAIP van de CAE zelf, de resultaten van interne en externe evaluaties en documentatie van de bekendmaking van QAIP-resultaten door de CAE aan het bestuur. Dit laatste bestaat doorgaans uit bevindingen, actieplannen met corrigerende maatregelen en corrigerende maatregelen die zijn genomen om de naleving van de Standaarden en de Gedragscode door de internal auditfunctie te verbeteren. Bovendien kan elke documentatie van de ondernomen </w:t>
      </w:r>
      <w:r w:rsidRPr="008D057F">
        <w:rPr>
          <w:rFonts w:asciiTheme="minorHAnsi" w:hAnsiTheme="minorHAnsi" w:cstheme="minorHAnsi"/>
          <w:sz w:val="22"/>
          <w:szCs w:val="22"/>
          <w:lang w:val="nl-NL"/>
        </w:rPr>
        <w:lastRenderedPageBreak/>
        <w:t xml:space="preserve">acties voor de verbetering van de efficiëntie en effectiviteit van de internal auditfunctie naleving van de standaard helpen aantonen. Voor externe evaluaties kan documentatie van de externe beoordelaar of het beoordelingsteam of een schriftelijke onafhankelijke validatie van een zelfevaluatie worden gebruikt om naleving van Standaard 1300 aan te geven. Notulen van bestuursvergaderingen waar </w:t>
      </w:r>
      <w:proofErr w:type="spellStart"/>
      <w:r w:rsidRPr="008D057F">
        <w:rPr>
          <w:rFonts w:asciiTheme="minorHAnsi" w:hAnsiTheme="minorHAnsi" w:cstheme="minorHAnsi"/>
          <w:sz w:val="22"/>
          <w:szCs w:val="22"/>
          <w:lang w:val="nl-NL"/>
        </w:rPr>
        <w:t>QAIP's</w:t>
      </w:r>
      <w:proofErr w:type="spellEnd"/>
      <w:r w:rsidRPr="008D057F">
        <w:rPr>
          <w:rFonts w:asciiTheme="minorHAnsi" w:hAnsiTheme="minorHAnsi" w:cstheme="minorHAnsi"/>
          <w:sz w:val="22"/>
          <w:szCs w:val="22"/>
          <w:lang w:val="nl-NL"/>
        </w:rPr>
        <w:t xml:space="preserve"> en de resultaten ervan zijn besproken en presentaties aan het bestuur of het senior management kunnen ook naleving helpen bewijzen.</w:t>
      </w:r>
    </w:p>
    <w:p w:rsidR="002F57B5" w:rsidRPr="008D057F" w:rsidRDefault="00685768" w:rsidP="00443735">
      <w:pPr>
        <w:pStyle w:val="TemplateBodyText"/>
        <w:rPr>
          <w:rFonts w:asciiTheme="minorHAnsi" w:hAnsiTheme="minorHAnsi" w:cstheme="minorHAnsi"/>
          <w:lang w:val="nl-NL"/>
        </w:rPr>
      </w:pPr>
      <w:bookmarkStart w:id="0" w:name="_GoBack"/>
      <w:bookmarkEnd w:id="0"/>
      <w:r w:rsidRPr="008D057F">
        <w:rPr>
          <w:rFonts w:asciiTheme="minorHAnsi" w:hAnsiTheme="minorHAnsi" w:cstheme="minorHAnsi"/>
          <w:noProof/>
          <w:lang w:val="nl-NL" w:eastAsia="nl-NL"/>
        </w:rPr>
        <mc:AlternateContent>
          <mc:Choice Requires="wps">
            <w:drawing>
              <wp:anchor distT="457200" distB="274320" distL="114300" distR="114300" simplePos="0" relativeHeight="251660288" behindDoc="0" locked="0" layoutInCell="1" allowOverlap="1">
                <wp:simplePos x="0" y="0"/>
                <wp:positionH relativeFrom="margin">
                  <wp:align>right</wp:align>
                </wp:positionH>
                <wp:positionV relativeFrom="page">
                  <wp:posOffset>3905250</wp:posOffset>
                </wp:positionV>
                <wp:extent cx="6400800" cy="5105400"/>
                <wp:effectExtent l="0" t="0" r="0" b="0"/>
                <wp:wrapSquare wrapText="bothSides"/>
                <wp:docPr id="1" name="Text Box 1"/>
                <wp:cNvGraphicFramePr/>
                <a:graphic xmlns:a="http://schemas.openxmlformats.org/drawingml/2006/main">
                  <a:graphicData uri="http://schemas.microsoft.com/office/word/2010/wordprocessingShape">
                    <wps:wsp>
                      <wps:cNvSpPr txBox="1"/>
                      <wps:spPr>
                        <a:xfrm>
                          <a:off x="0" y="0"/>
                          <a:ext cx="6400800" cy="5105400"/>
                        </a:xfrm>
                        <a:prstGeom prst="rect">
                          <a:avLst/>
                        </a:prstGeom>
                        <a:solidFill>
                          <a:sysClr val="window" lastClr="FFFFFF">
                            <a:lumMod val="85000"/>
                          </a:sysClr>
                        </a:solid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txbx>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wps:txbx>
                      <wps:bodyPr rot="0" spcFirstLastPara="0" vertOverflow="overflow" horzOverflow="overflow" vert="horz" wrap="square" lIns="182880" tIns="301752" rIns="182880" bIns="301752"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 o:spid="_x0000_s1028" type="#_x0000_t202" style="position:absolute;margin-left:452.8pt;margin-top:307.5pt;width:7in;height:402pt;z-index:251660288;visibility:visible;mso-wrap-style:square;mso-height-percent:0;mso-wrap-distance-left:9pt;mso-wrap-distance-top:36pt;mso-wrap-distance-right:9pt;mso-wrap-distance-bottom:21.6pt;mso-position-horizontal:right;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" fillcolor="#d9d9d9" stroked="f">
                <v:textbox inset="14.4pt,23.76pt,14.4pt,23.76pt">
                  <w:txbxContent>
                    <w:p w:rsidR="002F57B5" w:rsidRPr="00E6381B" w:rsidRDefault="002F57B5" w:rsidP="00685768">
                      <w:pPr>
                        <w:pStyle w:val="BoilerplateHeadline"/>
                      </w:pPr>
                      <w:r w:rsidRPr="00E6381B">
                        <w:rPr>
                          <w:lang w:val="nl-NL"/>
                        </w:rPr>
                        <w:t xml:space="preserve">Over het IIA </w:t>
                      </w:r>
                    </w:p>
                    <w:p w:rsidR="002F57B5" w:rsidRPr="001A0D5D" w:rsidRDefault="002F57B5" w:rsidP="00685768">
                      <w:pPr>
                        <w:pStyle w:val="BoilerplateBodyText"/>
                      </w:pPr>
                      <w:r w:rsidRPr="001A0D5D">
                        <w:rPr>
                          <w:lang w:val="nl-NL"/>
                        </w:rPr>
                        <w:t xml:space="preserve">Het </w:t>
                      </w:r>
                      <w:proofErr w:type="spellStart"/>
                      <w:r w:rsidRPr="001A0D5D">
                        <w:rPr>
                          <w:i/>
                          <w:iCs/>
                          <w:lang w:val="nl-NL"/>
                        </w:rPr>
                        <w:t>Institute</w:t>
                      </w:r>
                      <w:proofErr w:type="spellEnd"/>
                      <w:r w:rsidRPr="001A0D5D">
                        <w:rPr>
                          <w:i/>
                          <w:iCs/>
                          <w:lang w:val="nl-NL"/>
                        </w:rPr>
                        <w:t xml:space="preserve"> of Internal Auditors </w:t>
                      </w:r>
                      <w:r w:rsidRPr="001A0D5D">
                        <w:rPr>
                          <w:lang w:val="nl-NL"/>
                        </w:rPr>
                        <w:t>(IIA) is internationaal de meest vooraanstaande beroepsorganisatie van de internal auditors. Het instituut treedt op als belangenbehartiger, houdt zich bezig met educatie en verstrekt standaarden, richtsnoeren en certificeringen. Het IIA werd opgericht in 1941 en heeft inmiddels meer dan 180.000 leden in ruim 170 landen. Het wereldwijde hoofdkantoor van het IIA staat in de Verenigde Staten in Lake Mary, Florida. Ga voor andere informatie naar www.globaliia.org of www.theiia.org.</w:t>
                      </w:r>
                    </w:p>
                    <w:p w:rsidR="002F57B5" w:rsidRPr="00E6381B" w:rsidRDefault="002F57B5" w:rsidP="00685768">
                      <w:pPr>
                        <w:pStyle w:val="BoilerplateHeadline"/>
                      </w:pPr>
                      <w:r w:rsidRPr="00E6381B">
                        <w:rPr>
                          <w:lang w:val="nl-NL"/>
                        </w:rPr>
                        <w:t>Over de Implementatierichtlijnen</w:t>
                      </w:r>
                    </w:p>
                    <w:p w:rsidR="002F57B5" w:rsidRDefault="002F57B5" w:rsidP="00685768">
                      <w:pPr>
                        <w:autoSpaceDE w:val="0"/>
                        <w:autoSpaceDN w:val="0"/>
                        <w:adjustRightInd w:val="0"/>
                        <w:spacing w:after="180" w:line="288" w:lineRule="auto"/>
                        <w:rPr>
                          <w:rFonts w:ascii="ArialMT" w:hAnsi="ArialMT" w:cs="ArialMT"/>
                          <w:color w:val="000000"/>
                          <w:sz w:val="18"/>
                          <w:szCs w:val="18"/>
                        </w:rPr>
                      </w:pPr>
                      <w:r w:rsidRPr="00362566">
                        <w:rPr>
                          <w:rFonts w:ascii="ArialMT" w:hAnsi="ArialMT" w:cs="ArialMT"/>
                          <w:color w:val="000000"/>
                          <w:sz w:val="18"/>
                          <w:szCs w:val="18"/>
                          <w:lang w:val="nl-NL"/>
                        </w:rPr>
                        <w:t xml:space="preserve">De Implementatierichtlijnen maken deel uit van het </w:t>
                      </w:r>
                      <w:r w:rsidRPr="00362566">
                        <w:rPr>
                          <w:rFonts w:ascii="ArialMT" w:hAnsi="ArialMT" w:cs="ArialMT"/>
                          <w:i/>
                          <w:iCs/>
                          <w:color w:val="000000"/>
                          <w:sz w:val="18"/>
                          <w:szCs w:val="18"/>
                          <w:lang w:val="nl-NL"/>
                        </w:rPr>
                        <w:t xml:space="preserve">International Professional </w:t>
                      </w:r>
                      <w:proofErr w:type="spellStart"/>
                      <w:r w:rsidRPr="00362566">
                        <w:rPr>
                          <w:rFonts w:ascii="ArialMT" w:hAnsi="ArialMT" w:cs="ArialMT"/>
                          <w:i/>
                          <w:iCs/>
                          <w:color w:val="000000"/>
                          <w:sz w:val="18"/>
                          <w:szCs w:val="18"/>
                          <w:lang w:val="nl-NL"/>
                        </w:rPr>
                        <w:t>Practices</w:t>
                      </w:r>
                      <w:proofErr w:type="spellEnd"/>
                      <w:r w:rsidRPr="00362566">
                        <w:rPr>
                          <w:rFonts w:ascii="ArialMT" w:hAnsi="ArialMT" w:cs="ArialMT"/>
                          <w:i/>
                          <w:iCs/>
                          <w:color w:val="000000"/>
                          <w:sz w:val="18"/>
                          <w:szCs w:val="18"/>
                          <w:lang w:val="nl-NL"/>
                        </w:rPr>
                        <w:t xml:space="preserve"> Framework</w:t>
                      </w:r>
                      <w:r w:rsidRPr="00362566">
                        <w:rPr>
                          <w:rFonts w:ascii="ArialMT" w:hAnsi="ArialMT" w:cs="ArialMT"/>
                          <w:color w:val="000000"/>
                          <w:sz w:val="18"/>
                          <w:szCs w:val="18"/>
                          <w:lang w:val="nl-NL"/>
                        </w:rPr>
                        <w:t xml:space="preserve">® (IPPF®) van het IIA en bevatten (niet-verplichte) richtsnoeren voor het beroep van internal auditor. Doel van de Implementatierichtlijnen is ondersteuning te bieden aan internal auditors en internal auditfuncties zodat zij beter in staat zijn om de </w:t>
                      </w:r>
                      <w:r w:rsidRPr="00362566">
                        <w:rPr>
                          <w:rFonts w:ascii="ArialMT" w:hAnsi="ArialMT" w:cs="ArialMT"/>
                          <w:i/>
                          <w:iCs/>
                          <w:color w:val="000000"/>
                          <w:sz w:val="18"/>
                          <w:szCs w:val="18"/>
                          <w:lang w:val="nl-NL"/>
                        </w:rPr>
                        <w:t xml:space="preserve">International Standards </w:t>
                      </w:r>
                      <w:proofErr w:type="spellStart"/>
                      <w:r w:rsidRPr="00362566">
                        <w:rPr>
                          <w:rFonts w:ascii="ArialMT" w:hAnsi="ArialMT" w:cs="ArialMT"/>
                          <w:i/>
                          <w:iCs/>
                          <w:color w:val="000000"/>
                          <w:sz w:val="18"/>
                          <w:szCs w:val="18"/>
                          <w:lang w:val="nl-NL"/>
                        </w:rPr>
                        <w:t>for</w:t>
                      </w:r>
                      <w:proofErr w:type="spellEnd"/>
                      <w:r w:rsidRPr="00362566">
                        <w:rPr>
                          <w:rFonts w:ascii="ArialMT" w:hAnsi="ArialMT" w:cs="ArialMT"/>
                          <w:i/>
                          <w:iCs/>
                          <w:color w:val="000000"/>
                          <w:sz w:val="18"/>
                          <w:szCs w:val="18"/>
                          <w:lang w:val="nl-NL"/>
                        </w:rPr>
                        <w:t xml:space="preserve"> </w:t>
                      </w:r>
                      <w:proofErr w:type="spellStart"/>
                      <w:r w:rsidRPr="00362566">
                        <w:rPr>
                          <w:rFonts w:ascii="ArialMT" w:hAnsi="ArialMT" w:cs="ArialMT"/>
                          <w:i/>
                          <w:iCs/>
                          <w:color w:val="000000"/>
                          <w:sz w:val="18"/>
                          <w:szCs w:val="18"/>
                          <w:lang w:val="nl-NL"/>
                        </w:rPr>
                        <w:t>the</w:t>
                      </w:r>
                      <w:proofErr w:type="spellEnd"/>
                      <w:r w:rsidRPr="00362566">
                        <w:rPr>
                          <w:rFonts w:ascii="ArialMT" w:hAnsi="ArialMT" w:cs="ArialMT"/>
                          <w:i/>
                          <w:iCs/>
                          <w:color w:val="000000"/>
                          <w:sz w:val="18"/>
                          <w:szCs w:val="18"/>
                          <w:lang w:val="nl-NL"/>
                        </w:rPr>
                        <w:t xml:space="preserve"> Professional </w:t>
                      </w:r>
                      <w:proofErr w:type="spellStart"/>
                      <w:r w:rsidRPr="00362566">
                        <w:rPr>
                          <w:rFonts w:ascii="ArialMT" w:hAnsi="ArialMT" w:cs="ArialMT"/>
                          <w:i/>
                          <w:iCs/>
                          <w:color w:val="000000"/>
                          <w:sz w:val="18"/>
                          <w:szCs w:val="18"/>
                          <w:lang w:val="nl-NL"/>
                        </w:rPr>
                        <w:t>Practice</w:t>
                      </w:r>
                      <w:proofErr w:type="spellEnd"/>
                      <w:r w:rsidRPr="00362566">
                        <w:rPr>
                          <w:rFonts w:ascii="ArialMT" w:hAnsi="ArialMT" w:cs="ArialMT"/>
                          <w:i/>
                          <w:iCs/>
                          <w:color w:val="000000"/>
                          <w:sz w:val="18"/>
                          <w:szCs w:val="18"/>
                          <w:lang w:val="nl-NL"/>
                        </w:rPr>
                        <w:t xml:space="preserve"> of Internal Auditing</w:t>
                      </w:r>
                      <w:r w:rsidRPr="00362566">
                        <w:rPr>
                          <w:rFonts w:ascii="ArialMT" w:hAnsi="ArialMT" w:cs="ArialMT"/>
                          <w:color w:val="000000"/>
                          <w:sz w:val="18"/>
                          <w:szCs w:val="18"/>
                          <w:lang w:val="nl-NL"/>
                        </w:rPr>
                        <w:t xml:space="preserve"> (Standaarden) na te leven. </w:t>
                      </w:r>
                    </w:p>
                    <w:p w:rsidR="002F57B5" w:rsidRDefault="002F57B5" w:rsidP="00685768">
                      <w:pPr>
                        <w:pStyle w:val="BoilerplateBodyText"/>
                        <w:ind w:right="60"/>
                      </w:pPr>
                      <w:r w:rsidRPr="00500B34">
                        <w:rPr>
                          <w:lang w:val="nl-NL"/>
                        </w:rPr>
                        <w:t xml:space="preserve">De Implementatierichtlijnen ondersteunen internal auditors bij het toepassen van de Standaarden. De Implementatierichtlijnen beschrijven de aanpak, methodieken en overwegingen die de internal auditfunctie moet hanteren, maar gaan niet in detail in op processen of procedures. </w:t>
                      </w:r>
                    </w:p>
                    <w:p w:rsidR="002F57B5" w:rsidRDefault="002F57B5" w:rsidP="00685768">
                      <w:pPr>
                        <w:pStyle w:val="BoilerplateBodyText"/>
                        <w:ind w:right="60"/>
                      </w:pPr>
                      <w:r>
                        <w:rPr>
                          <w:lang w:val="nl-NL"/>
                        </w:rPr>
                        <w:t xml:space="preserve">Andere gezaghebbende richtlijnen van het IIA kunt u vinden op onze websites: www.globaliia.org/standards-guidance en www.theiia.org/guidance. </w:t>
                      </w:r>
                    </w:p>
                    <w:p w:rsidR="002F57B5" w:rsidRDefault="002F57B5" w:rsidP="00685768">
                      <w:pPr>
                        <w:pStyle w:val="BoilerplateHeadline"/>
                      </w:pPr>
                      <w:r>
                        <w:rPr>
                          <w:lang w:val="nl-NL"/>
                        </w:rPr>
                        <w:t>Disclaimer</w:t>
                      </w:r>
                    </w:p>
                    <w:p w:rsidR="002F57B5" w:rsidRDefault="002F57B5" w:rsidP="00685768">
                      <w:pPr>
                        <w:pStyle w:val="BoilerplateBodyText"/>
                      </w:pPr>
                      <w:r>
                        <w:rPr>
                          <w:lang w:val="nl-NL"/>
                        </w:rPr>
                        <w:t xml:space="preserve">Dit document is door het IIA gepubliceerd voor informatieve en educatieve doeleinden. Deze Richtlijnen hebben niet tot doel definitieve antwoorden te geven op specifieke individuele vragen en zijn derhalve slechts bedoeld als richtsnoer. Het IIA raadt aan om met betrekking tot een specifieke situatie altijd onafhankelijk deskundig advies ter zake in te winnen. Het IIA accepteert geen verantwoordelijkheid voor de gevolgen indien men uitsluitend afgaat op deze Richtlijnen. </w:t>
                      </w:r>
                    </w:p>
                    <w:p w:rsidR="002F57B5" w:rsidRDefault="002F57B5" w:rsidP="00685768">
                      <w:pPr>
                        <w:pStyle w:val="BoilerplateHeadline"/>
                        <w:spacing w:after="60"/>
                      </w:pPr>
                      <w:r>
                        <w:rPr>
                          <w:lang w:val="nl-NL"/>
                        </w:rPr>
                        <w:t>Auteursrecht</w:t>
                      </w:r>
                    </w:p>
                    <w:p w:rsidR="002F57B5" w:rsidRDefault="002F57B5" w:rsidP="00685768">
                      <w:pPr>
                        <w:pStyle w:val="BoilerplateBodyText"/>
                      </w:pPr>
                      <w:r>
                        <w:rPr>
                          <w:lang w:val="nl-NL"/>
                        </w:rPr>
                        <w:t>Copyright</w:t>
                      </w:r>
                      <w:r>
                        <w:rPr>
                          <w:vertAlign w:val="superscript"/>
                          <w:lang w:val="nl-NL"/>
                        </w:rPr>
                        <w:t>®</w:t>
                      </w:r>
                      <w:r>
                        <w:rPr>
                          <w:lang w:val="nl-NL"/>
                        </w:rPr>
                        <w:t xml:space="preserve"> 2016 </w:t>
                      </w:r>
                      <w:r>
                        <w:rPr>
                          <w:i/>
                          <w:iCs/>
                          <w:lang w:val="nl-NL"/>
                        </w:rPr>
                        <w:t xml:space="preserve">The </w:t>
                      </w:r>
                      <w:proofErr w:type="spellStart"/>
                      <w:r>
                        <w:rPr>
                          <w:i/>
                          <w:iCs/>
                          <w:lang w:val="nl-NL"/>
                        </w:rPr>
                        <w:t>Institute</w:t>
                      </w:r>
                      <w:proofErr w:type="spellEnd"/>
                      <w:r>
                        <w:rPr>
                          <w:i/>
                          <w:iCs/>
                          <w:lang w:val="nl-NL"/>
                        </w:rPr>
                        <w:t xml:space="preserve"> of Internal Auditors. </w:t>
                      </w:r>
                      <w:r>
                        <w:rPr>
                          <w:lang w:val="nl-NL"/>
                        </w:rPr>
                        <w:t xml:space="preserve">Toestemming voor reproductie van deze publicatie kunt u per e-mail aanvragen via guidance@theiia.org. </w:t>
                      </w:r>
                    </w:p>
                    <w:p w:rsidR="002F57B5" w:rsidRPr="00E6381B" w:rsidRDefault="002F57B5" w:rsidP="002F57B5"/>
                  </w:txbxContent>
                </v:textbox>
                <w10:wrap type="square" anchorx="margin" anchory="page"/>
              </v:shape>
            </w:pict>
          </mc:Fallback>
        </mc:AlternateContent>
      </w:r>
    </w:p>
    <w:sectPr w:rsidR="002F57B5" w:rsidRPr="008D057F" w:rsidSect="002F57B5">
      <w:headerReference w:type="even" r:id="rId8"/>
      <w:headerReference w:type="default" r:id="rId9"/>
      <w:footerReference w:type="default" r:id="rId10"/>
      <w:headerReference w:type="first" r:id="rId11"/>
      <w:footerReference w:type="first" r:id="rId12"/>
      <w:pgSz w:w="12240" w:h="15840"/>
      <w:pgMar w:top="1800" w:right="1080" w:bottom="1710" w:left="1080" w:header="720" w:footer="72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F57B5" w:rsidRDefault="002F57B5">
      <w:r>
        <w:separator/>
      </w:r>
    </w:p>
  </w:endnote>
  <w:endnote w:type="continuationSeparator" w:id="0">
    <w:p w:rsidR="002F57B5" w:rsidRDefault="002F57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PGothic">
    <w:panose1 w:val="020B0600070205080204"/>
    <w:charset w:val="80"/>
    <w:family w:val="swiss"/>
    <w:pitch w:val="variable"/>
    <w:sig w:usb0="E00002FF" w:usb1="6AC7FDFB" w:usb2="08000012" w:usb3="00000000" w:csb0="0002009F" w:csb1="00000000"/>
  </w:font>
  <w:font w:name="ArialMT">
    <w:altName w:val="Times New Roman"/>
    <w:charset w:val="00"/>
    <w:family w:val="auto"/>
    <w:pitch w:val="variable"/>
    <w:sig w:usb0="00000287" w:usb1="00000000" w:usb2="00000000" w:usb3="00000000" w:csb0="0000001F" w:csb1="00000000"/>
  </w:font>
  <w:font w:name="Times">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6227FD" w:rsidRDefault="002F57B5" w:rsidP="002F57B5">
    <w:pPr>
      <w:framePr w:wrap="around" w:vAnchor="text" w:hAnchor="margin" w:xAlign="center" w:y="265"/>
      <w:rPr>
        <w:rStyle w:val="Paginanummer"/>
        <w:color w:val="535953"/>
        <w:sz w:val="16"/>
        <w:szCs w:val="16"/>
      </w:rPr>
    </w:pPr>
    <w:r w:rsidRPr="006227FD">
      <w:rPr>
        <w:rStyle w:val="Paginanummer"/>
        <w:color w:val="535953"/>
        <w:sz w:val="16"/>
        <w:szCs w:val="16"/>
      </w:rPr>
      <w:fldChar w:fldCharType="begin"/>
    </w:r>
    <w:r w:rsidRPr="006227FD">
      <w:rPr>
        <w:rStyle w:val="Paginanummer"/>
        <w:color w:val="535953"/>
        <w:sz w:val="16"/>
        <w:szCs w:val="16"/>
      </w:rPr>
      <w:instrText xml:space="preserve">PAGE  </w:instrText>
    </w:r>
    <w:r w:rsidRPr="006227FD">
      <w:rPr>
        <w:rStyle w:val="Paginanummer"/>
        <w:color w:val="535953"/>
        <w:sz w:val="16"/>
        <w:szCs w:val="16"/>
      </w:rPr>
      <w:fldChar w:fldCharType="separate"/>
    </w:r>
    <w:r w:rsidR="008D057F">
      <w:rPr>
        <w:rStyle w:val="Paginanummer"/>
        <w:noProof/>
        <w:color w:val="535953"/>
        <w:sz w:val="16"/>
        <w:szCs w:val="16"/>
      </w:rPr>
      <w:t>6</w:t>
    </w:r>
    <w:r w:rsidRPr="006227FD">
      <w:rPr>
        <w:rStyle w:val="Paginanummer"/>
        <w:color w:val="535953"/>
        <w:sz w:val="16"/>
        <w:szCs w:val="16"/>
      </w:rPr>
      <w:fldChar w:fldCharType="end"/>
    </w:r>
  </w:p>
  <w:p w:rsidR="002F57B5" w:rsidRDefault="002F57B5"/>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Pr="00893833" w:rsidRDefault="002F57B5" w:rsidP="002F57B5">
    <w:pPr>
      <w:framePr w:wrap="around" w:vAnchor="text" w:hAnchor="page" w:x="6071" w:y="277"/>
      <w:rPr>
        <w:rStyle w:val="Paginanummer"/>
        <w:color w:val="535953"/>
        <w:sz w:val="16"/>
        <w:szCs w:val="16"/>
      </w:rPr>
    </w:pPr>
    <w:r>
      <w:rPr>
        <w:rStyle w:val="Paginanummer"/>
        <w:lang w:val="nl-NL"/>
      </w:rPr>
      <w:t xml:space="preserve"> </w:t>
    </w:r>
    <w:r w:rsidRPr="00893833">
      <w:rPr>
        <w:rStyle w:val="Paginanummer"/>
        <w:color w:val="535953"/>
        <w:sz w:val="16"/>
        <w:szCs w:val="16"/>
      </w:rPr>
      <w:fldChar w:fldCharType="begin"/>
    </w:r>
    <w:r w:rsidRPr="00893833">
      <w:rPr>
        <w:rStyle w:val="Paginanummer"/>
        <w:color w:val="535953"/>
        <w:sz w:val="16"/>
        <w:szCs w:val="16"/>
      </w:rPr>
      <w:instrText xml:space="preserve">PAGE  </w:instrText>
    </w:r>
    <w:r w:rsidRPr="00893833">
      <w:rPr>
        <w:rStyle w:val="Paginanummer"/>
        <w:color w:val="535953"/>
        <w:sz w:val="16"/>
        <w:szCs w:val="16"/>
      </w:rPr>
      <w:fldChar w:fldCharType="separate"/>
    </w:r>
    <w:r w:rsidR="008D057F">
      <w:rPr>
        <w:rStyle w:val="Paginanummer"/>
        <w:noProof/>
        <w:color w:val="535953"/>
        <w:sz w:val="16"/>
        <w:szCs w:val="16"/>
      </w:rPr>
      <w:t>1</w:t>
    </w:r>
    <w:r w:rsidRPr="00893833">
      <w:rPr>
        <w:rStyle w:val="Paginanummer"/>
        <w:color w:val="535953"/>
        <w:sz w:val="16"/>
        <w:szCs w:val="16"/>
      </w:rPr>
      <w:fldChar w:fldCharType="end"/>
    </w:r>
  </w:p>
  <w:p w:rsidR="002F57B5" w:rsidRDefault="002F57B5"/>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F57B5" w:rsidRDefault="002F57B5">
      <w:r>
        <w:separator/>
      </w:r>
    </w:p>
  </w:footnote>
  <w:footnote w:type="continuationSeparator" w:id="0">
    <w:p w:rsidR="002F57B5" w:rsidRDefault="002F57B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sidP="002F57B5">
    <w:pPr>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2F57B5" w:rsidRDefault="002F57B5"/>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mc:AlternateContent>
        <mc:Choice Requires="wps">
          <w:drawing>
            <wp:anchor distT="0" distB="0" distL="114300" distR="114300" simplePos="0" relativeHeight="251659264" behindDoc="0" locked="0" layoutInCell="1" allowOverlap="1">
              <wp:simplePos x="0" y="0"/>
              <wp:positionH relativeFrom="margin">
                <wp:posOffset>228600</wp:posOffset>
              </wp:positionH>
              <wp:positionV relativeFrom="topMargin">
                <wp:posOffset>628650</wp:posOffset>
              </wp:positionV>
              <wp:extent cx="6343650" cy="533400"/>
              <wp:effectExtent l="0" t="0" r="0" b="0"/>
              <wp:wrapThrough wrapText="bothSides">
                <wp:wrapPolygon edited="0">
                  <wp:start x="130" y="0"/>
                  <wp:lineTo x="130" y="20829"/>
                  <wp:lineTo x="21405" y="20829"/>
                  <wp:lineTo x="21405" y="0"/>
                  <wp:lineTo x="130" y="0"/>
                </wp:wrapPolygon>
              </wp:wrapThrough>
              <wp:docPr id="3" name="Text Box 3"/>
              <wp:cNvGraphicFramePr/>
              <a:graphic xmlns:a="http://schemas.openxmlformats.org/drawingml/2006/main">
                <a:graphicData uri="http://schemas.microsoft.com/office/word/2010/wordprocessingShape">
                  <wps:wsp>
                    <wps:cNvSpPr txBox="1"/>
                    <wps:spPr>
                      <a:xfrm>
                        <a:off x="0" y="0"/>
                        <a:ext cx="6343650" cy="533400"/>
                      </a:xfrm>
                      <a:prstGeom prst="rect">
                        <a:avLst/>
                      </a:prstGeom>
                      <a:noFill/>
                      <a:ln>
                        <a:noFill/>
                      </a:ln>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val="1"/>
                        </a:ext>
                      </a:extLst>
                    </wps:spPr>
                    <wps:style>
                      <a:lnRef idx="0">
                        <a:schemeClr val="accent1"/>
                      </a:lnRef>
                      <a:fillRef idx="0">
                        <a:schemeClr val="accent1"/>
                      </a:fillRef>
                      <a:effectRef idx="0">
                        <a:schemeClr val="accent1"/>
                      </a:effectRef>
                      <a:fontRef idx="minor">
                        <a:schemeClr val="dk1"/>
                      </a:fontRef>
                    </wps:style>
                    <wps:txbx>
                      <w:txbxContent>
                        <w:p w:rsidR="002F57B5" w:rsidRPr="006227FD" w:rsidRDefault="00A10180">
                          <w:pPr>
                            <w:rPr>
                              <w:rFonts w:ascii="Arial" w:hAnsi="Arial" w:cs="Arial"/>
                              <w:color w:val="002239" w:themeColor="text2" w:themeShade="80"/>
                            </w:rPr>
                          </w:pPr>
                          <w:r>
                            <w:rPr>
                              <w:rFonts w:ascii="Arial" w:hAnsi="Arial" w:cs="Arial"/>
                              <w:color w:val="0F1F4B"/>
                              <w:lang w:val="nl-NL"/>
                            </w:rPr>
                            <w:t>Implementatierichtlijn 130</w:t>
                          </w:r>
                          <w:r w:rsidR="002F57B5">
                            <w:rPr>
                              <w:rFonts w:ascii="Arial" w:hAnsi="Arial" w:cs="Arial"/>
                              <w:color w:val="0F1F4B"/>
                              <w:lang w:val="nl-NL"/>
                            </w:rPr>
                            <w:t>0</w:t>
                          </w:r>
                          <w:r w:rsidR="002F57B5">
                            <w:rPr>
                              <w:rFonts w:ascii="Arial" w:hAnsi="Arial" w:cs="Arial"/>
                              <w:color w:val="002239" w:themeColor="text2" w:themeShade="80"/>
                              <w:lang w:val="nl-NL"/>
                            </w:rPr>
                            <w:t xml:space="preserve"> </w:t>
                          </w:r>
                          <w:r w:rsidRPr="00A10180">
                            <w:rPr>
                              <w:rFonts w:ascii="Arial" w:hAnsi="Arial" w:cs="Arial"/>
                              <w:color w:val="002239" w:themeColor="text2" w:themeShade="80"/>
                              <w:lang w:val="nl-NL"/>
                            </w:rPr>
                            <w:t>Programma voor kwaliteitsbewaking en -verbetering</w:t>
                          </w:r>
                        </w:p>
                      </w:txbxContent>
                    </wps:txbx>
                    <wps:bodyPr rot="0" spcFirstLastPara="0" vertOverflow="overflow" horzOverflow="overflow" vert="horz" wrap="square"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 o:spid="_x0000_s1029" type="#_x0000_t202" style="position:absolute;margin-left:18pt;margin-top:49.5pt;width:499.5pt;height:42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op-margin-area;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" filled="f" stroked="f">
              <v:textbox>
                <w:txbxContent>
                  <w:p w:rsidR="002F57B5" w:rsidRPr="006227FD" w:rsidRDefault="00A10180">
                    <w:pPr>
                      <w:rPr>
                        <w:rFonts w:ascii="Arial" w:hAnsi="Arial" w:cs="Arial"/>
                        <w:color w:val="002239" w:themeColor="text2" w:themeShade="80"/>
                      </w:rPr>
                    </w:pPr>
                    <w:r>
                      <w:rPr>
                        <w:rFonts w:ascii="Arial" w:hAnsi="Arial" w:cs="Arial"/>
                        <w:color w:val="0F1F4B"/>
                        <w:lang w:val="nl-NL"/>
                      </w:rPr>
                      <w:t>Implementatierichtlijn 130</w:t>
                    </w:r>
                    <w:r w:rsidR="002F57B5">
                      <w:rPr>
                        <w:rFonts w:ascii="Arial" w:hAnsi="Arial" w:cs="Arial"/>
                        <w:color w:val="0F1F4B"/>
                        <w:lang w:val="nl-NL"/>
                      </w:rPr>
                      <w:t>0</w:t>
                    </w:r>
                    <w:r w:rsidR="002F57B5">
                      <w:rPr>
                        <w:rFonts w:ascii="Arial" w:hAnsi="Arial" w:cs="Arial"/>
                        <w:color w:val="002239" w:themeColor="text2" w:themeShade="80"/>
                        <w:lang w:val="nl-NL"/>
                      </w:rPr>
                      <w:t xml:space="preserve"> </w:t>
                    </w:r>
                    <w:r w:rsidRPr="00A10180">
                      <w:rPr>
                        <w:rFonts w:ascii="Arial" w:hAnsi="Arial" w:cs="Arial"/>
                        <w:color w:val="002239" w:themeColor="text2" w:themeShade="80"/>
                        <w:lang w:val="nl-NL"/>
                      </w:rPr>
                      <w:t>Programma voor kwaliteitsbewaking en -verbetering</w:t>
                    </w:r>
                  </w:p>
                </w:txbxContent>
              </v:textbox>
              <w10:wrap type="through" anchorx="margin" anchory="margin"/>
            </v:shape>
          </w:pict>
        </mc:Fallback>
      </mc:AlternateContent>
    </w:r>
    <w:r>
      <w:rPr>
        <w:noProof/>
        <w:lang w:val="nl-NL" w:eastAsia="nl-NL"/>
      </w:rPr>
      <w:drawing>
        <wp:anchor distT="0" distB="0" distL="114300" distR="114300" simplePos="0" relativeHeight="251658240" behindDoc="1" locked="0" layoutInCell="1" allowOverlap="1">
          <wp:simplePos x="0" y="0"/>
          <wp:positionH relativeFrom="page">
            <wp:align>right</wp:align>
          </wp:positionH>
          <wp:positionV relativeFrom="page">
            <wp:align>top</wp:align>
          </wp:positionV>
          <wp:extent cx="7772400" cy="10061448"/>
          <wp:effectExtent l="0" t="0" r="0" b="0"/>
          <wp:wrapNone/>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sterPage copy.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B5" w:rsidRDefault="002F57B5">
    <w:r>
      <w:rPr>
        <w:noProof/>
        <w:lang w:val="nl-NL" w:eastAsia="nl-NL"/>
      </w:rPr>
      <w:drawing>
        <wp:anchor distT="0" distB="0" distL="114300" distR="114300" simplePos="0" relativeHeight="251661312" behindDoc="1" locked="0" layoutInCell="1" allowOverlap="1">
          <wp:simplePos x="0" y="0"/>
          <wp:positionH relativeFrom="page">
            <wp:align>right</wp:align>
          </wp:positionH>
          <wp:positionV relativeFrom="page">
            <wp:align>top</wp:align>
          </wp:positionV>
          <wp:extent cx="7772400" cy="10061448"/>
          <wp:effectExtent l="0" t="0" r="0" b="0"/>
          <wp:wrapNone/>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ver Page.jpg"/>
                  <pic:cNvPicPr/>
                </pic:nvPicPr>
                <pic:blipFill>
                  <a:blip r:embed="rId1">
                    <a:extLst>
                      <a:ext uri="{28A0092B-C50C-407E-A947-70E740481C1C}">
                        <a14:useLocalDpi xmlns:a14="http://schemas.microsoft.com/office/drawing/2010/main" val="0"/>
                      </a:ext>
                    </a:extLst>
                  </a:blip>
                  <a:stretch>
                    <a:fillRect/>
                  </a:stretch>
                </pic:blipFill>
                <pic:spPr>
                  <a:xfrm>
                    <a:off x="0" y="0"/>
                    <a:ext cx="7772400" cy="10061448"/>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4A6306"/>
    <w:multiLevelType w:val="hybridMultilevel"/>
    <w:tmpl w:val="36D85A0C"/>
    <w:lvl w:ilvl="0" w:tplc="8526990C">
      <w:start w:val="1"/>
      <w:numFmt w:val="bullet"/>
      <w:lvlText w:val=""/>
      <w:lvlJc w:val="left"/>
      <w:pPr>
        <w:ind w:left="990" w:hanging="360"/>
      </w:pPr>
      <w:rPr>
        <w:rFonts w:ascii="Symbol" w:hAnsi="Symbol" w:hint="default"/>
        <w:color w:val="D32E30" w:themeColor="accent2"/>
      </w:rPr>
    </w:lvl>
    <w:lvl w:ilvl="1" w:tplc="D9E6D0E4" w:tentative="1">
      <w:start w:val="1"/>
      <w:numFmt w:val="bullet"/>
      <w:lvlText w:val="o"/>
      <w:lvlJc w:val="left"/>
      <w:pPr>
        <w:ind w:left="1710" w:hanging="360"/>
      </w:pPr>
      <w:rPr>
        <w:rFonts w:ascii="Courier New" w:hAnsi="Courier New" w:hint="default"/>
      </w:rPr>
    </w:lvl>
    <w:lvl w:ilvl="2" w:tplc="6CBA750C" w:tentative="1">
      <w:start w:val="1"/>
      <w:numFmt w:val="bullet"/>
      <w:lvlText w:val=""/>
      <w:lvlJc w:val="left"/>
      <w:pPr>
        <w:ind w:left="2430" w:hanging="360"/>
      </w:pPr>
      <w:rPr>
        <w:rFonts w:ascii="Wingdings" w:hAnsi="Wingdings" w:hint="default"/>
      </w:rPr>
    </w:lvl>
    <w:lvl w:ilvl="3" w:tplc="CBF89618" w:tentative="1">
      <w:start w:val="1"/>
      <w:numFmt w:val="bullet"/>
      <w:lvlText w:val=""/>
      <w:lvlJc w:val="left"/>
      <w:pPr>
        <w:ind w:left="3150" w:hanging="360"/>
      </w:pPr>
      <w:rPr>
        <w:rFonts w:ascii="Symbol" w:hAnsi="Symbol" w:hint="default"/>
      </w:rPr>
    </w:lvl>
    <w:lvl w:ilvl="4" w:tplc="97AABB4C" w:tentative="1">
      <w:start w:val="1"/>
      <w:numFmt w:val="bullet"/>
      <w:lvlText w:val="o"/>
      <w:lvlJc w:val="left"/>
      <w:pPr>
        <w:ind w:left="3870" w:hanging="360"/>
      </w:pPr>
      <w:rPr>
        <w:rFonts w:ascii="Courier New" w:hAnsi="Courier New" w:hint="default"/>
      </w:rPr>
    </w:lvl>
    <w:lvl w:ilvl="5" w:tplc="E7AEB53A" w:tentative="1">
      <w:start w:val="1"/>
      <w:numFmt w:val="bullet"/>
      <w:lvlText w:val=""/>
      <w:lvlJc w:val="left"/>
      <w:pPr>
        <w:ind w:left="4590" w:hanging="360"/>
      </w:pPr>
      <w:rPr>
        <w:rFonts w:ascii="Wingdings" w:hAnsi="Wingdings" w:hint="default"/>
      </w:rPr>
    </w:lvl>
    <w:lvl w:ilvl="6" w:tplc="F5F09510" w:tentative="1">
      <w:start w:val="1"/>
      <w:numFmt w:val="bullet"/>
      <w:lvlText w:val=""/>
      <w:lvlJc w:val="left"/>
      <w:pPr>
        <w:ind w:left="5310" w:hanging="360"/>
      </w:pPr>
      <w:rPr>
        <w:rFonts w:ascii="Symbol" w:hAnsi="Symbol" w:hint="default"/>
      </w:rPr>
    </w:lvl>
    <w:lvl w:ilvl="7" w:tplc="0922AAD6" w:tentative="1">
      <w:start w:val="1"/>
      <w:numFmt w:val="bullet"/>
      <w:lvlText w:val="o"/>
      <w:lvlJc w:val="left"/>
      <w:pPr>
        <w:ind w:left="6030" w:hanging="360"/>
      </w:pPr>
      <w:rPr>
        <w:rFonts w:ascii="Courier New" w:hAnsi="Courier New" w:hint="default"/>
      </w:rPr>
    </w:lvl>
    <w:lvl w:ilvl="8" w:tplc="6BC4CB10" w:tentative="1">
      <w:start w:val="1"/>
      <w:numFmt w:val="bullet"/>
      <w:lvlText w:val=""/>
      <w:lvlJc w:val="left"/>
      <w:pPr>
        <w:ind w:left="6750" w:hanging="360"/>
      </w:pPr>
      <w:rPr>
        <w:rFonts w:ascii="Wingdings" w:hAnsi="Wingdings" w:hint="default"/>
      </w:rPr>
    </w:lvl>
  </w:abstractNum>
  <w:abstractNum w:abstractNumId="1" w15:restartNumberingAfterBreak="0">
    <w:nsid w:val="25F42B3A"/>
    <w:multiLevelType w:val="hybridMultilevel"/>
    <w:tmpl w:val="E31EAF06"/>
    <w:lvl w:ilvl="0" w:tplc="055298DA">
      <w:start w:val="1"/>
      <w:numFmt w:val="bullet"/>
      <w:pStyle w:val="RedBullets"/>
      <w:lvlText w:val=""/>
      <w:lvlJc w:val="left"/>
      <w:pPr>
        <w:ind w:left="994" w:hanging="360"/>
      </w:pPr>
      <w:rPr>
        <w:rFonts w:ascii="Symbol" w:hAnsi="Symbol" w:hint="default"/>
        <w:color w:val="D32E30" w:themeColor="accent2"/>
      </w:rPr>
    </w:lvl>
    <w:lvl w:ilvl="1" w:tplc="621E7BA2">
      <w:start w:val="1"/>
      <w:numFmt w:val="bullet"/>
      <w:lvlText w:val="o"/>
      <w:lvlJc w:val="left"/>
      <w:pPr>
        <w:ind w:left="1714" w:hanging="360"/>
      </w:pPr>
      <w:rPr>
        <w:rFonts w:ascii="Courier New" w:hAnsi="Courier New" w:hint="default"/>
      </w:rPr>
    </w:lvl>
    <w:lvl w:ilvl="2" w:tplc="7E22767C" w:tentative="1">
      <w:start w:val="1"/>
      <w:numFmt w:val="bullet"/>
      <w:lvlText w:val=""/>
      <w:lvlJc w:val="left"/>
      <w:pPr>
        <w:ind w:left="2434" w:hanging="360"/>
      </w:pPr>
      <w:rPr>
        <w:rFonts w:ascii="Wingdings" w:hAnsi="Wingdings" w:hint="default"/>
      </w:rPr>
    </w:lvl>
    <w:lvl w:ilvl="3" w:tplc="EF2CF742" w:tentative="1">
      <w:start w:val="1"/>
      <w:numFmt w:val="bullet"/>
      <w:lvlText w:val=""/>
      <w:lvlJc w:val="left"/>
      <w:pPr>
        <w:ind w:left="3154" w:hanging="360"/>
      </w:pPr>
      <w:rPr>
        <w:rFonts w:ascii="Symbol" w:hAnsi="Symbol" w:hint="default"/>
      </w:rPr>
    </w:lvl>
    <w:lvl w:ilvl="4" w:tplc="4E28C6E8" w:tentative="1">
      <w:start w:val="1"/>
      <w:numFmt w:val="bullet"/>
      <w:lvlText w:val="o"/>
      <w:lvlJc w:val="left"/>
      <w:pPr>
        <w:ind w:left="3874" w:hanging="360"/>
      </w:pPr>
      <w:rPr>
        <w:rFonts w:ascii="Courier New" w:hAnsi="Courier New" w:hint="default"/>
      </w:rPr>
    </w:lvl>
    <w:lvl w:ilvl="5" w:tplc="5DE48358" w:tentative="1">
      <w:start w:val="1"/>
      <w:numFmt w:val="bullet"/>
      <w:lvlText w:val=""/>
      <w:lvlJc w:val="left"/>
      <w:pPr>
        <w:ind w:left="4594" w:hanging="360"/>
      </w:pPr>
      <w:rPr>
        <w:rFonts w:ascii="Wingdings" w:hAnsi="Wingdings" w:hint="default"/>
      </w:rPr>
    </w:lvl>
    <w:lvl w:ilvl="6" w:tplc="38FA1802" w:tentative="1">
      <w:start w:val="1"/>
      <w:numFmt w:val="bullet"/>
      <w:lvlText w:val=""/>
      <w:lvlJc w:val="left"/>
      <w:pPr>
        <w:ind w:left="5314" w:hanging="360"/>
      </w:pPr>
      <w:rPr>
        <w:rFonts w:ascii="Symbol" w:hAnsi="Symbol" w:hint="default"/>
      </w:rPr>
    </w:lvl>
    <w:lvl w:ilvl="7" w:tplc="7E0E749E" w:tentative="1">
      <w:start w:val="1"/>
      <w:numFmt w:val="bullet"/>
      <w:lvlText w:val="o"/>
      <w:lvlJc w:val="left"/>
      <w:pPr>
        <w:ind w:left="6034" w:hanging="360"/>
      </w:pPr>
      <w:rPr>
        <w:rFonts w:ascii="Courier New" w:hAnsi="Courier New" w:hint="default"/>
      </w:rPr>
    </w:lvl>
    <w:lvl w:ilvl="8" w:tplc="39783008" w:tentative="1">
      <w:start w:val="1"/>
      <w:numFmt w:val="bullet"/>
      <w:lvlText w:val=""/>
      <w:lvlJc w:val="left"/>
      <w:pPr>
        <w:ind w:left="6754" w:hanging="360"/>
      </w:pPr>
      <w:rPr>
        <w:rFonts w:ascii="Wingdings" w:hAnsi="Wingdings" w:hint="default"/>
      </w:rPr>
    </w:lvl>
  </w:abstractNum>
  <w:abstractNum w:abstractNumId="2" w15:restartNumberingAfterBreak="0">
    <w:nsid w:val="327E59D3"/>
    <w:multiLevelType w:val="hybridMultilevel"/>
    <w:tmpl w:val="97D2F3F4"/>
    <w:lvl w:ilvl="0" w:tplc="6C72D0A4">
      <w:start w:val="1"/>
      <w:numFmt w:val="bullet"/>
      <w:lvlText w:val=""/>
      <w:lvlJc w:val="left"/>
      <w:pPr>
        <w:ind w:left="720" w:hanging="360"/>
      </w:pPr>
      <w:rPr>
        <w:rFonts w:ascii="Symbol" w:hAnsi="Symbol" w:hint="default"/>
        <w:color w:val="D32E30" w:themeColor="accent2"/>
      </w:rPr>
    </w:lvl>
    <w:lvl w:ilvl="1" w:tplc="D6ECB022" w:tentative="1">
      <w:start w:val="1"/>
      <w:numFmt w:val="bullet"/>
      <w:lvlText w:val="o"/>
      <w:lvlJc w:val="left"/>
      <w:pPr>
        <w:ind w:left="1170" w:hanging="360"/>
      </w:pPr>
      <w:rPr>
        <w:rFonts w:ascii="Courier New" w:hAnsi="Courier New" w:hint="default"/>
      </w:rPr>
    </w:lvl>
    <w:lvl w:ilvl="2" w:tplc="AC966F80" w:tentative="1">
      <w:start w:val="1"/>
      <w:numFmt w:val="bullet"/>
      <w:lvlText w:val=""/>
      <w:lvlJc w:val="left"/>
      <w:pPr>
        <w:ind w:left="1890" w:hanging="360"/>
      </w:pPr>
      <w:rPr>
        <w:rFonts w:ascii="Wingdings" w:hAnsi="Wingdings" w:hint="default"/>
      </w:rPr>
    </w:lvl>
    <w:lvl w:ilvl="3" w:tplc="F1446828" w:tentative="1">
      <w:start w:val="1"/>
      <w:numFmt w:val="bullet"/>
      <w:lvlText w:val=""/>
      <w:lvlJc w:val="left"/>
      <w:pPr>
        <w:ind w:left="2610" w:hanging="360"/>
      </w:pPr>
      <w:rPr>
        <w:rFonts w:ascii="Symbol" w:hAnsi="Symbol" w:hint="default"/>
      </w:rPr>
    </w:lvl>
    <w:lvl w:ilvl="4" w:tplc="56B25782" w:tentative="1">
      <w:start w:val="1"/>
      <w:numFmt w:val="bullet"/>
      <w:lvlText w:val="o"/>
      <w:lvlJc w:val="left"/>
      <w:pPr>
        <w:ind w:left="3330" w:hanging="360"/>
      </w:pPr>
      <w:rPr>
        <w:rFonts w:ascii="Courier New" w:hAnsi="Courier New" w:hint="default"/>
      </w:rPr>
    </w:lvl>
    <w:lvl w:ilvl="5" w:tplc="7AEC16F8" w:tentative="1">
      <w:start w:val="1"/>
      <w:numFmt w:val="bullet"/>
      <w:lvlText w:val=""/>
      <w:lvlJc w:val="left"/>
      <w:pPr>
        <w:ind w:left="4050" w:hanging="360"/>
      </w:pPr>
      <w:rPr>
        <w:rFonts w:ascii="Wingdings" w:hAnsi="Wingdings" w:hint="default"/>
      </w:rPr>
    </w:lvl>
    <w:lvl w:ilvl="6" w:tplc="A4E2FD96" w:tentative="1">
      <w:start w:val="1"/>
      <w:numFmt w:val="bullet"/>
      <w:lvlText w:val=""/>
      <w:lvlJc w:val="left"/>
      <w:pPr>
        <w:ind w:left="4770" w:hanging="360"/>
      </w:pPr>
      <w:rPr>
        <w:rFonts w:ascii="Symbol" w:hAnsi="Symbol" w:hint="default"/>
      </w:rPr>
    </w:lvl>
    <w:lvl w:ilvl="7" w:tplc="2A50A19E" w:tentative="1">
      <w:start w:val="1"/>
      <w:numFmt w:val="bullet"/>
      <w:lvlText w:val="o"/>
      <w:lvlJc w:val="left"/>
      <w:pPr>
        <w:ind w:left="5490" w:hanging="360"/>
      </w:pPr>
      <w:rPr>
        <w:rFonts w:ascii="Courier New" w:hAnsi="Courier New" w:hint="default"/>
      </w:rPr>
    </w:lvl>
    <w:lvl w:ilvl="8" w:tplc="AF32A1B8" w:tentative="1">
      <w:start w:val="1"/>
      <w:numFmt w:val="bullet"/>
      <w:lvlText w:val=""/>
      <w:lvlJc w:val="left"/>
      <w:pPr>
        <w:ind w:left="621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hdrShapeDefaults>
    <o:shapedefaults v:ext="edit" spidmax="122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OpenInPublishingView" w:val="0"/>
    <w:docVar w:name="ShowStaticGuides" w:val="1"/>
  </w:docVars>
  <w:rsids>
    <w:rsidRoot w:val="00685768"/>
    <w:rsid w:val="000C60D4"/>
    <w:rsid w:val="000D1A20"/>
    <w:rsid w:val="001B11A8"/>
    <w:rsid w:val="001E4FDE"/>
    <w:rsid w:val="00284E07"/>
    <w:rsid w:val="002C0B84"/>
    <w:rsid w:val="002F57B5"/>
    <w:rsid w:val="00325BDE"/>
    <w:rsid w:val="00365B8D"/>
    <w:rsid w:val="00443735"/>
    <w:rsid w:val="005A0CAD"/>
    <w:rsid w:val="005C501B"/>
    <w:rsid w:val="005C5335"/>
    <w:rsid w:val="00665553"/>
    <w:rsid w:val="00685768"/>
    <w:rsid w:val="007373A7"/>
    <w:rsid w:val="0081412E"/>
    <w:rsid w:val="00890221"/>
    <w:rsid w:val="008D057F"/>
    <w:rsid w:val="008F2569"/>
    <w:rsid w:val="0097657B"/>
    <w:rsid w:val="00A0512A"/>
    <w:rsid w:val="00A10180"/>
    <w:rsid w:val="00A96503"/>
    <w:rsid w:val="00AA0CBD"/>
    <w:rsid w:val="00BC3D33"/>
    <w:rsid w:val="00C6368B"/>
    <w:rsid w:val="00CB2532"/>
    <w:rsid w:val="00DD0AE2"/>
    <w:rsid w:val="00DF51BE"/>
    <w:rsid w:val="00E90A08"/>
    <w:rsid w:val="00EE0963"/>
    <w:rsid w:val="00FE3050"/>
    <w:rsid w:val="00FF046F"/>
  </w:rsids>
  <m:mathPr>
    <m:mathFont m:val="Cambria Math"/>
    <m:brkBin m:val="before"/>
    <m:brkBinSub m:val="--"/>
    <m:smallFrac m:val="0"/>
    <m:dispDef m:val="0"/>
    <m:lMargin m:val="0"/>
    <m:rMargin m:val="0"/>
    <m:defJc m:val="centerGroup"/>
    <m:wrapRight/>
    <m:intLim m:val="subSup"/>
    <m:naryLim m:val="subSup"/>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5:docId w15:val="{1C9E951A-2DB5-4445-AEA3-CB4D3666D9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210A1B"/>
  </w:style>
  <w:style w:type="paragraph" w:styleId="Kop1">
    <w:name w:val="heading 1"/>
    <w:basedOn w:val="Standaard"/>
    <w:next w:val="Standaard"/>
    <w:link w:val="Kop1Char"/>
    <w:uiPriority w:val="9"/>
    <w:qFormat/>
    <w:rsid w:val="006227FD"/>
    <w:pPr>
      <w:keepNext/>
      <w:keepLines/>
      <w:spacing w:before="480"/>
      <w:outlineLvl w:val="0"/>
    </w:pPr>
    <w:rPr>
      <w:rFonts w:asciiTheme="majorHAnsi" w:eastAsiaTheme="majorEastAsia" w:hAnsiTheme="majorHAnsi" w:cstheme="majorBidi"/>
      <w:b/>
      <w:bCs/>
      <w:color w:val="00658D" w:themeColor="accent1" w:themeShade="B5"/>
      <w:sz w:val="32"/>
      <w:szCs w:val="32"/>
    </w:rPr>
  </w:style>
  <w:style w:type="paragraph" w:styleId="Kop2">
    <w:name w:val="heading 2"/>
    <w:basedOn w:val="Standaard"/>
    <w:next w:val="Standaard"/>
    <w:link w:val="Kop2Char"/>
    <w:uiPriority w:val="9"/>
    <w:unhideWhenUsed/>
    <w:qFormat/>
    <w:rsid w:val="00DD0AE2"/>
    <w:pPr>
      <w:keepNext/>
      <w:keepLines/>
      <w:spacing w:before="40"/>
      <w:outlineLvl w:val="1"/>
    </w:pPr>
    <w:rPr>
      <w:rFonts w:asciiTheme="majorHAnsi" w:eastAsiaTheme="majorEastAsia" w:hAnsiTheme="majorHAnsi" w:cstheme="majorBidi"/>
      <w:color w:val="006A95"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6227FD"/>
    <w:rPr>
      <w:rFonts w:asciiTheme="majorHAnsi" w:eastAsiaTheme="majorEastAsia" w:hAnsiTheme="majorHAnsi" w:cstheme="majorBidi"/>
      <w:b/>
      <w:bCs/>
      <w:color w:val="00658D" w:themeColor="accent1" w:themeShade="B5"/>
      <w:sz w:val="32"/>
      <w:szCs w:val="32"/>
    </w:rPr>
  </w:style>
  <w:style w:type="character" w:styleId="Paginanummer">
    <w:name w:val="page number"/>
    <w:basedOn w:val="Standaardalinea-lettertype"/>
    <w:uiPriority w:val="99"/>
    <w:semiHidden/>
    <w:unhideWhenUsed/>
    <w:rsid w:val="006227FD"/>
  </w:style>
  <w:style w:type="paragraph" w:customStyle="1" w:styleId="TemplateHeadline">
    <w:name w:val="Template Headline"/>
    <w:basedOn w:val="Plattetekst"/>
    <w:uiPriority w:val="99"/>
    <w:rsid w:val="00893833"/>
    <w:pPr>
      <w:widowControl w:val="0"/>
      <w:autoSpaceDE w:val="0"/>
      <w:autoSpaceDN w:val="0"/>
      <w:adjustRightInd w:val="0"/>
      <w:spacing w:after="180" w:line="360" w:lineRule="atLeast"/>
      <w:textAlignment w:val="center"/>
    </w:pPr>
    <w:rPr>
      <w:rFonts w:ascii="ArialMT" w:hAnsi="ArialMT" w:cs="ArialMT"/>
      <w:color w:val="000065"/>
      <w:sz w:val="36"/>
      <w:szCs w:val="36"/>
    </w:rPr>
  </w:style>
  <w:style w:type="paragraph" w:styleId="Plattetekst">
    <w:name w:val="Body Text"/>
    <w:basedOn w:val="Standaard"/>
    <w:link w:val="PlattetekstChar"/>
    <w:uiPriority w:val="99"/>
    <w:semiHidden/>
    <w:unhideWhenUsed/>
    <w:rsid w:val="00893833"/>
    <w:pPr>
      <w:spacing w:after="120"/>
    </w:pPr>
  </w:style>
  <w:style w:type="character" w:customStyle="1" w:styleId="PlattetekstChar">
    <w:name w:val="Platte tekst Char"/>
    <w:basedOn w:val="Standaardalinea-lettertype"/>
    <w:link w:val="Plattetekst"/>
    <w:uiPriority w:val="99"/>
    <w:semiHidden/>
    <w:rsid w:val="00893833"/>
  </w:style>
  <w:style w:type="paragraph" w:customStyle="1" w:styleId="TemplateBodyText">
    <w:name w:val="Template Body Text"/>
    <w:basedOn w:val="Plattetekst"/>
    <w:link w:val="TemplateBodyTextChar"/>
    <w:uiPriority w:val="99"/>
    <w:rsid w:val="00893833"/>
    <w:pPr>
      <w:widowControl w:val="0"/>
      <w:suppressAutoHyphens/>
      <w:autoSpaceDE w:val="0"/>
      <w:autoSpaceDN w:val="0"/>
      <w:adjustRightInd w:val="0"/>
      <w:spacing w:after="180" w:line="400" w:lineRule="atLeast"/>
      <w:textAlignment w:val="center"/>
    </w:pPr>
    <w:rPr>
      <w:rFonts w:ascii="ArialMT" w:hAnsi="ArialMT" w:cs="ArialMT"/>
      <w:color w:val="000000"/>
    </w:rPr>
  </w:style>
  <w:style w:type="paragraph" w:customStyle="1" w:styleId="TemplateBullets">
    <w:name w:val="Template Bullets"/>
    <w:basedOn w:val="TemplateBodyText"/>
    <w:uiPriority w:val="99"/>
    <w:rsid w:val="00B01FFE"/>
    <w:pPr>
      <w:spacing w:after="0"/>
      <w:ind w:left="634" w:hanging="360"/>
    </w:pPr>
  </w:style>
  <w:style w:type="paragraph" w:customStyle="1" w:styleId="TemplateBullets-Sub">
    <w:name w:val="Template Bullets-Sub"/>
    <w:basedOn w:val="TemplateBodyText"/>
    <w:uiPriority w:val="99"/>
    <w:rsid w:val="00893833"/>
    <w:pPr>
      <w:spacing w:after="0"/>
      <w:ind w:left="990" w:hanging="360"/>
    </w:pPr>
  </w:style>
  <w:style w:type="paragraph" w:customStyle="1" w:styleId="RedBullets">
    <w:name w:val="Red Bullets"/>
    <w:basedOn w:val="TemplateBullets"/>
    <w:qFormat/>
    <w:rsid w:val="00B01FFE"/>
    <w:pPr>
      <w:numPr>
        <w:numId w:val="3"/>
      </w:numPr>
    </w:pPr>
  </w:style>
  <w:style w:type="paragraph" w:customStyle="1" w:styleId="Headline">
    <w:name w:val="Headline"/>
    <w:basedOn w:val="Standaard"/>
    <w:uiPriority w:val="99"/>
    <w:rsid w:val="00B01FFE"/>
    <w:pPr>
      <w:widowControl w:val="0"/>
      <w:autoSpaceDE w:val="0"/>
      <w:autoSpaceDN w:val="0"/>
      <w:adjustRightInd w:val="0"/>
      <w:spacing w:line="800" w:lineRule="atLeast"/>
      <w:textAlignment w:val="center"/>
    </w:pPr>
    <w:rPr>
      <w:rFonts w:ascii="ArialMT" w:hAnsi="ArialMT" w:cs="ArialMT"/>
      <w:color w:val="000065"/>
      <w:sz w:val="70"/>
      <w:szCs w:val="70"/>
    </w:rPr>
  </w:style>
  <w:style w:type="paragraph" w:styleId="Voettekst">
    <w:name w:val="footer"/>
    <w:basedOn w:val="Standaard"/>
    <w:link w:val="VoettekstChar"/>
    <w:uiPriority w:val="99"/>
    <w:unhideWhenUsed/>
    <w:rsid w:val="00112A54"/>
    <w:pPr>
      <w:tabs>
        <w:tab w:val="center" w:pos="4320"/>
        <w:tab w:val="right" w:pos="8640"/>
      </w:tabs>
    </w:pPr>
  </w:style>
  <w:style w:type="character" w:customStyle="1" w:styleId="VoettekstChar">
    <w:name w:val="Voettekst Char"/>
    <w:basedOn w:val="Standaardalinea-lettertype"/>
    <w:link w:val="Voettekst"/>
    <w:uiPriority w:val="99"/>
    <w:rsid w:val="00112A54"/>
  </w:style>
  <w:style w:type="paragraph" w:styleId="Normaalweb">
    <w:name w:val="Normal (Web)"/>
    <w:basedOn w:val="Standaard"/>
    <w:uiPriority w:val="99"/>
    <w:semiHidden/>
    <w:unhideWhenUsed/>
    <w:rsid w:val="00AF61BE"/>
    <w:pPr>
      <w:spacing w:before="100" w:beforeAutospacing="1" w:after="100" w:afterAutospacing="1"/>
    </w:pPr>
    <w:rPr>
      <w:rFonts w:ascii="Times" w:hAnsi="Times" w:cs="Times New Roman"/>
      <w:sz w:val="20"/>
      <w:szCs w:val="20"/>
    </w:rPr>
  </w:style>
  <w:style w:type="paragraph" w:customStyle="1" w:styleId="BoilerplateHeadline">
    <w:name w:val="Boilerplate Headline"/>
    <w:basedOn w:val="Standaard"/>
    <w:uiPriority w:val="99"/>
    <w:rsid w:val="00AF61BE"/>
    <w:pPr>
      <w:widowControl w:val="0"/>
      <w:autoSpaceDE w:val="0"/>
      <w:autoSpaceDN w:val="0"/>
      <w:adjustRightInd w:val="0"/>
      <w:spacing w:line="360" w:lineRule="atLeast"/>
      <w:textAlignment w:val="center"/>
    </w:pPr>
    <w:rPr>
      <w:rFonts w:ascii="ArialMT" w:hAnsi="ArialMT" w:cs="ArialMT"/>
      <w:color w:val="3B95D9"/>
      <w:sz w:val="30"/>
      <w:szCs w:val="30"/>
    </w:rPr>
  </w:style>
  <w:style w:type="paragraph" w:customStyle="1" w:styleId="BoilerplateBodyText">
    <w:name w:val="Boilerplate Body Text"/>
    <w:basedOn w:val="Standaard"/>
    <w:uiPriority w:val="99"/>
    <w:rsid w:val="00AF61BE"/>
    <w:pPr>
      <w:widowControl w:val="0"/>
      <w:suppressAutoHyphens/>
      <w:autoSpaceDE w:val="0"/>
      <w:autoSpaceDN w:val="0"/>
      <w:adjustRightInd w:val="0"/>
      <w:spacing w:after="180" w:line="288" w:lineRule="auto"/>
      <w:textAlignment w:val="center"/>
    </w:pPr>
    <w:rPr>
      <w:rFonts w:ascii="ArialMT" w:hAnsi="ArialMT" w:cs="ArialMT"/>
      <w:color w:val="000000"/>
      <w:sz w:val="18"/>
      <w:szCs w:val="18"/>
    </w:rPr>
  </w:style>
  <w:style w:type="paragraph" w:styleId="Ballontekst">
    <w:name w:val="Balloon Text"/>
    <w:basedOn w:val="Standaard"/>
    <w:link w:val="BallontekstChar"/>
    <w:uiPriority w:val="99"/>
    <w:semiHidden/>
    <w:unhideWhenUsed/>
    <w:rsid w:val="00FB2F16"/>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FB2F16"/>
    <w:rPr>
      <w:rFonts w:ascii="Segoe UI" w:hAnsi="Segoe UI" w:cs="Segoe UI"/>
      <w:sz w:val="18"/>
      <w:szCs w:val="18"/>
    </w:rPr>
  </w:style>
  <w:style w:type="character" w:styleId="Verwijzingopmerking">
    <w:name w:val="annotation reference"/>
    <w:basedOn w:val="Standaardalinea-lettertype"/>
    <w:uiPriority w:val="99"/>
    <w:semiHidden/>
    <w:unhideWhenUsed/>
    <w:rsid w:val="004350A2"/>
    <w:rPr>
      <w:sz w:val="16"/>
      <w:szCs w:val="16"/>
    </w:rPr>
  </w:style>
  <w:style w:type="paragraph" w:styleId="Tekstopmerking">
    <w:name w:val="annotation text"/>
    <w:basedOn w:val="Standaard"/>
    <w:link w:val="TekstopmerkingChar"/>
    <w:uiPriority w:val="99"/>
    <w:semiHidden/>
    <w:unhideWhenUsed/>
    <w:rsid w:val="004350A2"/>
    <w:rPr>
      <w:sz w:val="20"/>
      <w:szCs w:val="20"/>
    </w:rPr>
  </w:style>
  <w:style w:type="character" w:customStyle="1" w:styleId="TekstopmerkingChar">
    <w:name w:val="Tekst opmerking Char"/>
    <w:basedOn w:val="Standaardalinea-lettertype"/>
    <w:link w:val="Tekstopmerking"/>
    <w:uiPriority w:val="99"/>
    <w:semiHidden/>
    <w:rsid w:val="004350A2"/>
    <w:rPr>
      <w:sz w:val="20"/>
      <w:szCs w:val="20"/>
    </w:rPr>
  </w:style>
  <w:style w:type="paragraph" w:styleId="Onderwerpvanopmerking">
    <w:name w:val="annotation subject"/>
    <w:basedOn w:val="Tekstopmerking"/>
    <w:next w:val="Tekstopmerking"/>
    <w:link w:val="OnderwerpvanopmerkingChar"/>
    <w:uiPriority w:val="99"/>
    <w:semiHidden/>
    <w:unhideWhenUsed/>
    <w:rsid w:val="004350A2"/>
    <w:rPr>
      <w:b/>
      <w:bCs/>
    </w:rPr>
  </w:style>
  <w:style w:type="character" w:customStyle="1" w:styleId="OnderwerpvanopmerkingChar">
    <w:name w:val="Onderwerp van opmerking Char"/>
    <w:basedOn w:val="TekstopmerkingChar"/>
    <w:link w:val="Onderwerpvanopmerking"/>
    <w:uiPriority w:val="99"/>
    <w:semiHidden/>
    <w:rsid w:val="004350A2"/>
    <w:rPr>
      <w:b/>
      <w:bCs/>
      <w:sz w:val="20"/>
      <w:szCs w:val="20"/>
    </w:rPr>
  </w:style>
  <w:style w:type="paragraph" w:styleId="Geenafstand">
    <w:name w:val="No Spacing"/>
    <w:uiPriority w:val="1"/>
    <w:qFormat/>
    <w:rsid w:val="00FF046F"/>
  </w:style>
  <w:style w:type="character" w:customStyle="1" w:styleId="TemplateBodyTextChar">
    <w:name w:val="Template Body Text Char"/>
    <w:basedOn w:val="PlattetekstChar"/>
    <w:link w:val="TemplateBodyText"/>
    <w:uiPriority w:val="99"/>
    <w:rsid w:val="00E90A08"/>
    <w:rPr>
      <w:rFonts w:ascii="ArialMT" w:hAnsi="ArialMT" w:cs="ArialMT"/>
      <w:color w:val="000000"/>
    </w:rPr>
  </w:style>
  <w:style w:type="character" w:customStyle="1" w:styleId="Kop2Char">
    <w:name w:val="Kop 2 Char"/>
    <w:basedOn w:val="Standaardalinea-lettertype"/>
    <w:link w:val="Kop2"/>
    <w:uiPriority w:val="9"/>
    <w:rsid w:val="00DD0AE2"/>
    <w:rPr>
      <w:rFonts w:asciiTheme="majorHAnsi" w:eastAsiaTheme="majorEastAsia" w:hAnsiTheme="majorHAnsi" w:cstheme="majorBidi"/>
      <w:color w:val="006A9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customXml" Target="../customXml/item2.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IIA 2013 PPT">
  <a:themeElements>
    <a:clrScheme name="Custom 1">
      <a:dk1>
        <a:srgbClr val="061D38"/>
      </a:dk1>
      <a:lt1>
        <a:sysClr val="window" lastClr="FFFFFF"/>
      </a:lt1>
      <a:dk2>
        <a:srgbClr val="004572"/>
      </a:dk2>
      <a:lt2>
        <a:srgbClr val="FFFFFE"/>
      </a:lt2>
      <a:accent1>
        <a:srgbClr val="008FC7"/>
      </a:accent1>
      <a:accent2>
        <a:srgbClr val="D32E30"/>
      </a:accent2>
      <a:accent3>
        <a:srgbClr val="4C4C4C"/>
      </a:accent3>
      <a:accent4>
        <a:srgbClr val="CECBC2"/>
      </a:accent4>
      <a:accent5>
        <a:srgbClr val="A7A8A7"/>
      </a:accent5>
      <a:accent6>
        <a:srgbClr val="DF6626"/>
      </a:accent6>
      <a:hlink>
        <a:srgbClr val="008FC7"/>
      </a:hlink>
      <a:folHlink>
        <a:srgbClr val="381230"/>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9BA9F7BB32F2294F9D78893CD8E3280E" ma:contentTypeVersion="15" ma:contentTypeDescription="Een nieuw document maken." ma:contentTypeScope="" ma:versionID="f679380a8e4e886ecc5d957d2e1fe2ba">
  <xsd:schema xmlns:xsd="http://www.w3.org/2001/XMLSchema" xmlns:xs="http://www.w3.org/2001/XMLSchema" xmlns:p="http://schemas.microsoft.com/office/2006/metadata/properties" xmlns:ns2="0c3fcb60-73aa-4fba-936c-f4e4949477d8" xmlns:ns3="4954079c-738c-4385-842a-9c050cf63c06" targetNamespace="http://schemas.microsoft.com/office/2006/metadata/properties" ma:root="true" ma:fieldsID="106845997257846790f80a0afdb0d6c2" ns2:_="" ns3:_="">
    <xsd:import namespace="0c3fcb60-73aa-4fba-936c-f4e4949477d8"/>
    <xsd:import namespace="4954079c-738c-4385-842a-9c050cf63c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3fcb60-73aa-4fba-936c-f4e4949477d8"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6" nillable="true" ma:displayName="Taxonomy Catch All Column" ma:hidden="true" ma:list="{e8d94e95-c22f-4490-ac5b-50eb1da410da}" ma:internalName="TaxCatchAll" ma:showField="CatchAllData" ma:web="0c3fcb60-73aa-4fba-936c-f4e4949477d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954079c-738c-4385-842a-9c050cf63c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5eb6d24d-4a21-4ef1-8551-673e5fb1a20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0c3fcb60-73aa-4fba-936c-f4e4949477d8" xsi:nil="true"/>
    <lcf76f155ced4ddcb4097134ff3c332f xmlns="4954079c-738c-4385-842a-9c050cf63c06">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AE0CB86-EA1D-4D2A-97EE-8040521EF4C4}">
  <ds:schemaRefs>
    <ds:schemaRef ds:uri="http://schemas.openxmlformats.org/officeDocument/2006/bibliography"/>
  </ds:schemaRefs>
</ds:datastoreItem>
</file>

<file path=customXml/itemProps2.xml><?xml version="1.0" encoding="utf-8"?>
<ds:datastoreItem xmlns:ds="http://schemas.openxmlformats.org/officeDocument/2006/customXml" ds:itemID="{098A41ED-7D98-4E7E-B454-156DFE65B791}"/>
</file>

<file path=customXml/itemProps3.xml><?xml version="1.0" encoding="utf-8"?>
<ds:datastoreItem xmlns:ds="http://schemas.openxmlformats.org/officeDocument/2006/customXml" ds:itemID="{A16C6632-8B63-4740-B9BC-B87A073C32A6}"/>
</file>

<file path=customXml/itemProps4.xml><?xml version="1.0" encoding="utf-8"?>
<ds:datastoreItem xmlns:ds="http://schemas.openxmlformats.org/officeDocument/2006/customXml" ds:itemID="{DDF11680-4030-42D8-8A66-C6804968BB38}"/>
</file>

<file path=docProps/app.xml><?xml version="1.0" encoding="utf-8"?>
<Properties xmlns="http://schemas.openxmlformats.org/officeDocument/2006/extended-properties" xmlns:vt="http://schemas.openxmlformats.org/officeDocument/2006/docPropsVTypes">
  <Template>698333E9</Template>
  <TotalTime>7</TotalTime>
  <Pages>6</Pages>
  <Words>1515</Words>
  <Characters>8335</Characters>
  <Application>Microsoft Office Word</Application>
  <DocSecurity>0</DocSecurity>
  <Lines>69</Lines>
  <Paragraphs>19</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The IIA</Company>
  <LinksUpToDate>false</LinksUpToDate>
  <CharactersWithSpaces>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Citro</dc:creator>
  <cp:lastModifiedBy>Linda Poort</cp:lastModifiedBy>
  <cp:revision>15</cp:revision>
  <dcterms:created xsi:type="dcterms:W3CDTF">2017-08-18T09:55:00Z</dcterms:created>
  <dcterms:modified xsi:type="dcterms:W3CDTF">2017-08-21T12:49:00Z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0x0101009BA9F7BB32F2294F9D78893CD8E3280E</vt:lpwstr>
  </property>
</Properties>
</file>