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6A0008" w:rsidRDefault="00C6368B" w:rsidP="00FF046F">
      <w:pPr>
        <w:pStyle w:val="Geenafstand"/>
        <w:rPr>
          <w:rFonts w:cstheme="minorHAnsi"/>
          <w:lang w:val="nl-NL"/>
        </w:rPr>
      </w:pPr>
      <w:bookmarkStart w:id="0" w:name="_GoBack"/>
      <w:bookmarkEnd w:id="0"/>
      <w:r w:rsidRPr="006A0008">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1504950</wp:posOffset>
                </wp:positionV>
                <wp:extent cx="6400800" cy="33337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333375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664F3B" w:rsidRPr="00664F3B">
                              <w:rPr>
                                <w:rFonts w:asciiTheme="majorHAnsi" w:hAnsiTheme="majorHAnsi" w:cstheme="majorHAnsi"/>
                                <w:lang w:val="nl-NL"/>
                              </w:rPr>
                              <w:t>2040 – Beleidsmaatregelen en procedures</w:t>
                            </w:r>
                          </w:p>
                          <w:p w:rsidR="00664F3B" w:rsidRPr="006A0008" w:rsidRDefault="00664F3B" w:rsidP="00664F3B">
                            <w:pPr>
                              <w:pStyle w:val="RedBullets"/>
                              <w:numPr>
                                <w:ilvl w:val="0"/>
                                <w:numId w:val="0"/>
                              </w:numPr>
                              <w:rPr>
                                <w:rFonts w:asciiTheme="majorHAnsi" w:hAnsiTheme="majorHAnsi" w:cstheme="majorHAnsi"/>
                                <w:sz w:val="22"/>
                                <w:szCs w:val="22"/>
                                <w:lang w:val="nl-NL"/>
                              </w:rPr>
                            </w:pPr>
                            <w:r w:rsidRPr="006A0008">
                              <w:rPr>
                                <w:rFonts w:asciiTheme="majorHAnsi" w:hAnsiTheme="majorHAnsi" w:cstheme="majorHAnsi"/>
                                <w:sz w:val="22"/>
                                <w:szCs w:val="22"/>
                                <w:lang w:val="nl-NL"/>
                              </w:rPr>
                              <w:t>Het hoofd van de internal-auditfunctie moet beleidsmaatregelen en procedures vaststellen om de internal-auditfunctie aan te sturen.</w:t>
                            </w:r>
                          </w:p>
                          <w:p w:rsidR="00664F3B" w:rsidRPr="006A0008" w:rsidRDefault="00664F3B" w:rsidP="00664F3B">
                            <w:pPr>
                              <w:pStyle w:val="RedBullets"/>
                              <w:numPr>
                                <w:ilvl w:val="0"/>
                                <w:numId w:val="0"/>
                              </w:numPr>
                              <w:rPr>
                                <w:rFonts w:asciiTheme="majorHAnsi" w:hAnsiTheme="majorHAnsi" w:cstheme="majorHAnsi"/>
                                <w:sz w:val="22"/>
                                <w:szCs w:val="22"/>
                                <w:lang w:val="nl-NL"/>
                              </w:rPr>
                            </w:pPr>
                          </w:p>
                          <w:p w:rsidR="00664F3B" w:rsidRDefault="00664F3B" w:rsidP="00664F3B">
                            <w:pPr>
                              <w:pStyle w:val="RedBullets"/>
                              <w:numPr>
                                <w:ilvl w:val="0"/>
                                <w:numId w:val="0"/>
                              </w:numPr>
                              <w:rPr>
                                <w:rFonts w:asciiTheme="majorHAnsi" w:hAnsiTheme="majorHAnsi" w:cstheme="majorHAnsi"/>
                                <w:sz w:val="22"/>
                                <w:szCs w:val="22"/>
                                <w:lang w:val="nl-NL"/>
                              </w:rPr>
                            </w:pPr>
                            <w:r w:rsidRPr="006A0008">
                              <w:rPr>
                                <w:rFonts w:asciiTheme="majorHAnsi" w:hAnsiTheme="majorHAnsi" w:cstheme="majorHAnsi"/>
                                <w:b/>
                                <w:sz w:val="22"/>
                                <w:szCs w:val="22"/>
                                <w:lang w:val="nl-NL"/>
                              </w:rPr>
                              <w:t>Interpretatie</w:t>
                            </w:r>
                            <w:r w:rsidRPr="006A0008">
                              <w:rPr>
                                <w:rFonts w:asciiTheme="majorHAnsi" w:hAnsiTheme="majorHAnsi" w:cstheme="majorHAnsi"/>
                                <w:sz w:val="22"/>
                                <w:szCs w:val="22"/>
                                <w:lang w:val="nl-NL"/>
                              </w:rPr>
                              <w:t>:</w:t>
                            </w:r>
                          </w:p>
                          <w:p w:rsidR="006A0008" w:rsidRPr="006A0008" w:rsidRDefault="006A0008" w:rsidP="00664F3B">
                            <w:pPr>
                              <w:pStyle w:val="RedBullets"/>
                              <w:numPr>
                                <w:ilvl w:val="0"/>
                                <w:numId w:val="0"/>
                              </w:numPr>
                              <w:rPr>
                                <w:rFonts w:asciiTheme="majorHAnsi" w:hAnsiTheme="majorHAnsi" w:cstheme="majorHAnsi"/>
                                <w:sz w:val="22"/>
                                <w:szCs w:val="22"/>
                                <w:lang w:val="nl-NL"/>
                              </w:rPr>
                            </w:pPr>
                          </w:p>
                          <w:p w:rsidR="00664F3B" w:rsidRPr="006A0008" w:rsidRDefault="00664F3B" w:rsidP="00664F3B">
                            <w:pPr>
                              <w:pStyle w:val="RedBullets"/>
                              <w:numPr>
                                <w:ilvl w:val="0"/>
                                <w:numId w:val="0"/>
                              </w:numPr>
                              <w:rPr>
                                <w:rFonts w:asciiTheme="majorHAnsi" w:hAnsiTheme="majorHAnsi" w:cstheme="majorHAnsi"/>
                                <w:i/>
                                <w:sz w:val="22"/>
                                <w:szCs w:val="22"/>
                                <w:lang w:val="nl-NL"/>
                              </w:rPr>
                            </w:pPr>
                            <w:r w:rsidRPr="006A0008">
                              <w:rPr>
                                <w:rFonts w:asciiTheme="majorHAnsi" w:hAnsiTheme="majorHAnsi" w:cstheme="majorHAnsi"/>
                                <w:i/>
                                <w:sz w:val="22"/>
                                <w:szCs w:val="22"/>
                                <w:lang w:val="nl-NL"/>
                              </w:rPr>
                              <w:t>De vorm en inhoud van de beleidsmaatregelen en procedures zijn afhankelijk van de omvang en de structuur van de internal-auditfunctie en de complexiteit van de werkzaamheden.</w:t>
                            </w:r>
                          </w:p>
                          <w:p w:rsidR="00664F3B" w:rsidRPr="006A0008" w:rsidRDefault="00664F3B" w:rsidP="00664F3B">
                            <w:pPr>
                              <w:pStyle w:val="RedBullets"/>
                              <w:numPr>
                                <w:ilvl w:val="0"/>
                                <w:numId w:val="0"/>
                              </w:numPr>
                              <w:rPr>
                                <w:rFonts w:asciiTheme="majorHAnsi" w:hAnsiTheme="majorHAnsi" w:cstheme="majorHAnsi"/>
                                <w:sz w:val="22"/>
                                <w:szCs w:val="22"/>
                                <w:lang w:val="nl-NL"/>
                              </w:rPr>
                            </w:pPr>
                          </w:p>
                          <w:p w:rsidR="005A0CAD" w:rsidRPr="006A0008" w:rsidRDefault="00664F3B" w:rsidP="00664F3B">
                            <w:pPr>
                              <w:pStyle w:val="RedBullets"/>
                              <w:numPr>
                                <w:ilvl w:val="0"/>
                                <w:numId w:val="0"/>
                              </w:numPr>
                              <w:jc w:val="right"/>
                              <w:rPr>
                                <w:rFonts w:asciiTheme="majorHAnsi" w:hAnsiTheme="majorHAnsi" w:cstheme="majorHAnsi"/>
                                <w:sz w:val="22"/>
                                <w:szCs w:val="22"/>
                              </w:rPr>
                            </w:pPr>
                            <w:proofErr w:type="spellStart"/>
                            <w:r w:rsidRPr="006A0008">
                              <w:rPr>
                                <w:rFonts w:asciiTheme="majorHAnsi" w:hAnsiTheme="majorHAnsi" w:cstheme="majorHAnsi"/>
                                <w:sz w:val="22"/>
                                <w:szCs w:val="22"/>
                                <w:lang w:val="nl-NL"/>
                              </w:rPr>
                              <w:t>Herziene</w:t>
                            </w:r>
                            <w:proofErr w:type="spellEnd"/>
                            <w:r w:rsidRPr="006A0008">
                              <w:rPr>
                                <w:rFonts w:asciiTheme="majorHAnsi" w:hAnsiTheme="majorHAnsi" w:cstheme="majorHAnsi"/>
                                <w:sz w:val="22"/>
                                <w:szCs w:val="22"/>
                                <w:lang w:val="nl-NL"/>
                              </w:rPr>
                              <w:t xml:space="preserve"> </w:t>
                            </w:r>
                            <w:r w:rsidRPr="00AC6FE6">
                              <w:rPr>
                                <w:rFonts w:asciiTheme="majorHAnsi" w:hAnsiTheme="majorHAnsi" w:cstheme="majorHAnsi"/>
                                <w:i/>
                                <w:sz w:val="22"/>
                                <w:szCs w:val="22"/>
                                <w:lang w:val="nl-NL"/>
                              </w:rPr>
                              <w:t>Standaarden</w:t>
                            </w:r>
                            <w:r w:rsidRPr="006A0008">
                              <w:rPr>
                                <w:rFonts w:asciiTheme="majorHAnsi" w:hAnsiTheme="majorHAnsi" w:cstheme="majorHAnsi"/>
                                <w:sz w:val="22"/>
                                <w:szCs w:val="22"/>
                                <w:lang w:val="nl-NL"/>
                              </w:rPr>
                              <w:t xml:space="preserve"> die per 1 januari 2017 van kracht zijn</w:t>
                            </w:r>
                          </w:p>
                          <w:p w:rsidR="002F57B5" w:rsidRPr="008F2569" w:rsidRDefault="002F57B5" w:rsidP="002F57B5">
                            <w:pPr>
                              <w:pStyle w:val="RedBullets"/>
                              <w:numPr>
                                <w:ilvl w:val="0"/>
                                <w:numId w:val="0"/>
                              </w:numPr>
                              <w:rPr>
                                <w:rFonts w:asciiTheme="majorHAnsi" w:hAnsiTheme="majorHAnsi" w:cstheme="majorHAnsi"/>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18.5pt;width:7in;height:262.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" fillcolor="#d8d8d8 [2732]" stroked="f">
                <v:textbox inset="14.4pt,23.76pt,14.4pt,23.76pt">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664F3B" w:rsidRPr="00664F3B">
                        <w:rPr>
                          <w:rFonts w:asciiTheme="majorHAnsi" w:hAnsiTheme="majorHAnsi" w:cstheme="majorHAnsi"/>
                          <w:lang w:val="nl-NL"/>
                        </w:rPr>
                        <w:t>2040 – Beleidsmaatregelen en procedures</w:t>
                      </w:r>
                    </w:p>
                    <w:p w:rsidR="00664F3B" w:rsidRPr="006A0008" w:rsidRDefault="00664F3B" w:rsidP="00664F3B">
                      <w:pPr>
                        <w:pStyle w:val="RedBullets"/>
                        <w:numPr>
                          <w:ilvl w:val="0"/>
                          <w:numId w:val="0"/>
                        </w:numPr>
                        <w:rPr>
                          <w:rFonts w:asciiTheme="majorHAnsi" w:hAnsiTheme="majorHAnsi" w:cstheme="majorHAnsi"/>
                          <w:sz w:val="22"/>
                          <w:szCs w:val="22"/>
                          <w:lang w:val="nl-NL"/>
                        </w:rPr>
                      </w:pPr>
                      <w:r w:rsidRPr="006A0008">
                        <w:rPr>
                          <w:rFonts w:asciiTheme="majorHAnsi" w:hAnsiTheme="majorHAnsi" w:cstheme="majorHAnsi"/>
                          <w:sz w:val="22"/>
                          <w:szCs w:val="22"/>
                          <w:lang w:val="nl-NL"/>
                        </w:rPr>
                        <w:t>Het hoofd van de internal-auditfunctie moet beleidsmaatregelen en procedures vaststellen om de internal-auditfunctie aan te sturen.</w:t>
                      </w:r>
                    </w:p>
                    <w:p w:rsidR="00664F3B" w:rsidRPr="006A0008" w:rsidRDefault="00664F3B" w:rsidP="00664F3B">
                      <w:pPr>
                        <w:pStyle w:val="RedBullets"/>
                        <w:numPr>
                          <w:ilvl w:val="0"/>
                          <w:numId w:val="0"/>
                        </w:numPr>
                        <w:rPr>
                          <w:rFonts w:asciiTheme="majorHAnsi" w:hAnsiTheme="majorHAnsi" w:cstheme="majorHAnsi"/>
                          <w:sz w:val="22"/>
                          <w:szCs w:val="22"/>
                          <w:lang w:val="nl-NL"/>
                        </w:rPr>
                      </w:pPr>
                    </w:p>
                    <w:p w:rsidR="00664F3B" w:rsidRDefault="00664F3B" w:rsidP="00664F3B">
                      <w:pPr>
                        <w:pStyle w:val="RedBullets"/>
                        <w:numPr>
                          <w:ilvl w:val="0"/>
                          <w:numId w:val="0"/>
                        </w:numPr>
                        <w:rPr>
                          <w:rFonts w:asciiTheme="majorHAnsi" w:hAnsiTheme="majorHAnsi" w:cstheme="majorHAnsi"/>
                          <w:sz w:val="22"/>
                          <w:szCs w:val="22"/>
                          <w:lang w:val="nl-NL"/>
                        </w:rPr>
                      </w:pPr>
                      <w:r w:rsidRPr="006A0008">
                        <w:rPr>
                          <w:rFonts w:asciiTheme="majorHAnsi" w:hAnsiTheme="majorHAnsi" w:cstheme="majorHAnsi"/>
                          <w:b/>
                          <w:sz w:val="22"/>
                          <w:szCs w:val="22"/>
                          <w:lang w:val="nl-NL"/>
                        </w:rPr>
                        <w:t>Interpretatie</w:t>
                      </w:r>
                      <w:r w:rsidRPr="006A0008">
                        <w:rPr>
                          <w:rFonts w:asciiTheme="majorHAnsi" w:hAnsiTheme="majorHAnsi" w:cstheme="majorHAnsi"/>
                          <w:sz w:val="22"/>
                          <w:szCs w:val="22"/>
                          <w:lang w:val="nl-NL"/>
                        </w:rPr>
                        <w:t>:</w:t>
                      </w:r>
                    </w:p>
                    <w:p w:rsidR="006A0008" w:rsidRPr="006A0008" w:rsidRDefault="006A0008" w:rsidP="00664F3B">
                      <w:pPr>
                        <w:pStyle w:val="RedBullets"/>
                        <w:numPr>
                          <w:ilvl w:val="0"/>
                          <w:numId w:val="0"/>
                        </w:numPr>
                        <w:rPr>
                          <w:rFonts w:asciiTheme="majorHAnsi" w:hAnsiTheme="majorHAnsi" w:cstheme="majorHAnsi"/>
                          <w:sz w:val="22"/>
                          <w:szCs w:val="22"/>
                          <w:lang w:val="nl-NL"/>
                        </w:rPr>
                      </w:pPr>
                    </w:p>
                    <w:p w:rsidR="00664F3B" w:rsidRPr="006A0008" w:rsidRDefault="00664F3B" w:rsidP="00664F3B">
                      <w:pPr>
                        <w:pStyle w:val="RedBullets"/>
                        <w:numPr>
                          <w:ilvl w:val="0"/>
                          <w:numId w:val="0"/>
                        </w:numPr>
                        <w:rPr>
                          <w:rFonts w:asciiTheme="majorHAnsi" w:hAnsiTheme="majorHAnsi" w:cstheme="majorHAnsi"/>
                          <w:i/>
                          <w:sz w:val="22"/>
                          <w:szCs w:val="22"/>
                          <w:lang w:val="nl-NL"/>
                        </w:rPr>
                      </w:pPr>
                      <w:r w:rsidRPr="006A0008">
                        <w:rPr>
                          <w:rFonts w:asciiTheme="majorHAnsi" w:hAnsiTheme="majorHAnsi" w:cstheme="majorHAnsi"/>
                          <w:i/>
                          <w:sz w:val="22"/>
                          <w:szCs w:val="22"/>
                          <w:lang w:val="nl-NL"/>
                        </w:rPr>
                        <w:t>De vorm en inhoud van de beleidsmaatregelen en procedures zijn afhankelijk van de omvang en de structuur van de internal-auditfunctie en de complexiteit van de werkzaamheden.</w:t>
                      </w:r>
                    </w:p>
                    <w:p w:rsidR="00664F3B" w:rsidRPr="006A0008" w:rsidRDefault="00664F3B" w:rsidP="00664F3B">
                      <w:pPr>
                        <w:pStyle w:val="RedBullets"/>
                        <w:numPr>
                          <w:ilvl w:val="0"/>
                          <w:numId w:val="0"/>
                        </w:numPr>
                        <w:rPr>
                          <w:rFonts w:asciiTheme="majorHAnsi" w:hAnsiTheme="majorHAnsi" w:cstheme="majorHAnsi"/>
                          <w:sz w:val="22"/>
                          <w:szCs w:val="22"/>
                          <w:lang w:val="nl-NL"/>
                        </w:rPr>
                      </w:pPr>
                    </w:p>
                    <w:p w:rsidR="005A0CAD" w:rsidRPr="006A0008" w:rsidRDefault="00664F3B" w:rsidP="00664F3B">
                      <w:pPr>
                        <w:pStyle w:val="RedBullets"/>
                        <w:numPr>
                          <w:ilvl w:val="0"/>
                          <w:numId w:val="0"/>
                        </w:numPr>
                        <w:jc w:val="right"/>
                        <w:rPr>
                          <w:rFonts w:asciiTheme="majorHAnsi" w:hAnsiTheme="majorHAnsi" w:cstheme="majorHAnsi"/>
                          <w:sz w:val="22"/>
                          <w:szCs w:val="22"/>
                        </w:rPr>
                      </w:pPr>
                      <w:proofErr w:type="spellStart"/>
                      <w:r w:rsidRPr="006A0008">
                        <w:rPr>
                          <w:rFonts w:asciiTheme="majorHAnsi" w:hAnsiTheme="majorHAnsi" w:cstheme="majorHAnsi"/>
                          <w:sz w:val="22"/>
                          <w:szCs w:val="22"/>
                          <w:lang w:val="nl-NL"/>
                        </w:rPr>
                        <w:t>Herziene</w:t>
                      </w:r>
                      <w:proofErr w:type="spellEnd"/>
                      <w:r w:rsidRPr="006A0008">
                        <w:rPr>
                          <w:rFonts w:asciiTheme="majorHAnsi" w:hAnsiTheme="majorHAnsi" w:cstheme="majorHAnsi"/>
                          <w:sz w:val="22"/>
                          <w:szCs w:val="22"/>
                          <w:lang w:val="nl-NL"/>
                        </w:rPr>
                        <w:t xml:space="preserve"> </w:t>
                      </w:r>
                      <w:r w:rsidRPr="00AC6FE6">
                        <w:rPr>
                          <w:rFonts w:asciiTheme="majorHAnsi" w:hAnsiTheme="majorHAnsi" w:cstheme="majorHAnsi"/>
                          <w:i/>
                          <w:sz w:val="22"/>
                          <w:szCs w:val="22"/>
                          <w:lang w:val="nl-NL"/>
                        </w:rPr>
                        <w:t>Standaarden</w:t>
                      </w:r>
                      <w:r w:rsidRPr="006A0008">
                        <w:rPr>
                          <w:rFonts w:asciiTheme="majorHAnsi" w:hAnsiTheme="majorHAnsi" w:cstheme="majorHAnsi"/>
                          <w:sz w:val="22"/>
                          <w:szCs w:val="22"/>
                          <w:lang w:val="nl-NL"/>
                        </w:rPr>
                        <w:t xml:space="preserve"> die per 1 januari 2017 van kracht zijn</w:t>
                      </w:r>
                    </w:p>
                    <w:p w:rsidR="002F57B5" w:rsidRPr="008F2569" w:rsidRDefault="002F57B5" w:rsidP="002F57B5">
                      <w:pPr>
                        <w:pStyle w:val="RedBullets"/>
                        <w:numPr>
                          <w:ilvl w:val="0"/>
                          <w:numId w:val="0"/>
                        </w:numPr>
                        <w:rPr>
                          <w:rFonts w:asciiTheme="majorHAnsi" w:hAnsiTheme="majorHAnsi" w:cstheme="majorHAnsi"/>
                        </w:rPr>
                      </w:pPr>
                    </w:p>
                  </w:txbxContent>
                </v:textbox>
                <w10:wrap type="square" anchorx="margin" anchory="margin"/>
              </v:shape>
            </w:pict>
          </mc:Fallback>
        </mc:AlternateContent>
      </w:r>
      <w:r w:rsidR="00685768" w:rsidRPr="006A0008">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664F3B">
                              <w:rPr>
                                <w:color w:val="FFFFFF" w:themeColor="background1"/>
                                <w:sz w:val="50"/>
                                <w:szCs w:val="50"/>
                                <w:lang w:val="nl-NL"/>
                                <w14:textOutline w14:w="9525" w14:cap="flat" w14:cmpd="sng" w14:algn="ctr">
                                  <w14:noFill/>
                                  <w14:prstDash w14:val="solid"/>
                                  <w14:round/>
                                </w14:textOutline>
                              </w:rPr>
                              <w:t>2040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664F3B">
                        <w:rPr>
                          <w:color w:val="FFFFFF" w:themeColor="background1"/>
                          <w:sz w:val="50"/>
                          <w:szCs w:val="50"/>
                          <w:lang w:val="nl-NL"/>
                          <w14:textOutline w14:w="9525" w14:cap="flat" w14:cmpd="sng" w14:algn="ctr">
                            <w14:noFill/>
                            <w14:prstDash w14:val="solid"/>
                            <w14:round/>
                          </w14:textOutline>
                        </w:rPr>
                        <w:t>2040</w:t>
                      </w:r>
                    </w:p>
                  </w:txbxContent>
                </v:textbox>
                <w10:wrap type="square" anchorx="page" anchory="page"/>
              </v:shape>
            </w:pict>
          </mc:Fallback>
        </mc:AlternateContent>
      </w:r>
    </w:p>
    <w:p w:rsidR="002F57B5" w:rsidRPr="006A0008" w:rsidRDefault="00685768" w:rsidP="002F57B5">
      <w:pPr>
        <w:pStyle w:val="TemplateHeadline"/>
        <w:rPr>
          <w:rFonts w:asciiTheme="minorHAnsi" w:hAnsiTheme="minorHAnsi" w:cstheme="minorHAnsi"/>
          <w:lang w:val="nl-NL"/>
        </w:rPr>
      </w:pPr>
      <w:r w:rsidRPr="006A0008">
        <w:rPr>
          <w:rFonts w:asciiTheme="minorHAnsi" w:hAnsiTheme="minorHAnsi" w:cstheme="minorHAnsi"/>
          <w:lang w:val="nl-NL"/>
        </w:rPr>
        <w:t xml:space="preserve">Inleiding </w:t>
      </w:r>
    </w:p>
    <w:p w:rsidR="00664F3B" w:rsidRPr="006A0008" w:rsidRDefault="00664F3B" w:rsidP="00664F3B">
      <w:pPr>
        <w:pStyle w:val="TemplateBodyText"/>
        <w:rPr>
          <w:rFonts w:asciiTheme="minorHAnsi" w:hAnsiTheme="minorHAnsi" w:cstheme="minorHAnsi"/>
          <w:sz w:val="22"/>
          <w:szCs w:val="22"/>
          <w:lang w:val="nl-NL"/>
        </w:rPr>
      </w:pPr>
      <w:r w:rsidRPr="006A0008">
        <w:rPr>
          <w:rFonts w:asciiTheme="minorHAnsi" w:hAnsiTheme="minorHAnsi" w:cstheme="minorHAnsi"/>
          <w:sz w:val="22"/>
          <w:szCs w:val="22"/>
          <w:lang w:val="nl-NL"/>
        </w:rPr>
        <w:t xml:space="preserve">Om de beleidsmaatregelen en procedures vast te stellen die de internal auditfunctie richting geven, neemt het hoofd van de internal auditfunctie (CAE) verschillende factoren in overweging. Het is essentieel om ervoor te zorgen dat internal </w:t>
      </w:r>
      <w:proofErr w:type="spellStart"/>
      <w:r w:rsidRPr="006A0008">
        <w:rPr>
          <w:rFonts w:asciiTheme="minorHAnsi" w:hAnsiTheme="minorHAnsi" w:cstheme="minorHAnsi"/>
          <w:sz w:val="22"/>
          <w:szCs w:val="22"/>
          <w:lang w:val="nl-NL"/>
        </w:rPr>
        <w:t>auditingbeleid</w:t>
      </w:r>
      <w:proofErr w:type="spellEnd"/>
      <w:r w:rsidRPr="006A0008">
        <w:rPr>
          <w:rFonts w:asciiTheme="minorHAnsi" w:hAnsiTheme="minorHAnsi" w:cstheme="minorHAnsi"/>
          <w:sz w:val="22"/>
          <w:szCs w:val="22"/>
          <w:lang w:val="nl-NL"/>
        </w:rPr>
        <w:t xml:space="preserve"> en -procedures afgestemd zijn op de dwingende richtlijnen van het International Professional </w:t>
      </w:r>
      <w:proofErr w:type="spellStart"/>
      <w:r w:rsidRPr="006A0008">
        <w:rPr>
          <w:rFonts w:asciiTheme="minorHAnsi" w:hAnsiTheme="minorHAnsi" w:cstheme="minorHAnsi"/>
          <w:sz w:val="22"/>
          <w:szCs w:val="22"/>
          <w:lang w:val="nl-NL"/>
        </w:rPr>
        <w:t>Practices</w:t>
      </w:r>
      <w:proofErr w:type="spellEnd"/>
      <w:r w:rsidRPr="006A0008">
        <w:rPr>
          <w:rFonts w:asciiTheme="minorHAnsi" w:hAnsiTheme="minorHAnsi" w:cstheme="minorHAnsi"/>
          <w:sz w:val="22"/>
          <w:szCs w:val="22"/>
          <w:lang w:val="nl-NL"/>
        </w:rPr>
        <w:t xml:space="preserve"> Framework (IPPF). Daarnaast draagt de afstemming op het internal auditcharter ertoe bij dat ervoor wordt gezorgd dat aandacht wordt geschonken aan de verwachtingen van de stakeholders.</w:t>
      </w:r>
    </w:p>
    <w:p w:rsidR="00664F3B" w:rsidRPr="006A0008" w:rsidRDefault="00664F3B" w:rsidP="00664F3B">
      <w:pPr>
        <w:pStyle w:val="TemplateBodyText"/>
        <w:rPr>
          <w:rFonts w:asciiTheme="minorHAnsi" w:hAnsiTheme="minorHAnsi" w:cstheme="minorHAnsi"/>
          <w:sz w:val="22"/>
          <w:szCs w:val="22"/>
          <w:lang w:val="nl-NL"/>
        </w:rPr>
      </w:pPr>
      <w:r w:rsidRPr="006A0008">
        <w:rPr>
          <w:rFonts w:asciiTheme="minorHAnsi" w:hAnsiTheme="minorHAnsi" w:cstheme="minorHAnsi"/>
          <w:sz w:val="22"/>
          <w:szCs w:val="22"/>
          <w:lang w:val="nl-NL"/>
        </w:rPr>
        <w:t xml:space="preserve">De CAE kan beginnen met het ontwikkelen van beleid en procedures door informatie, voorbeelden en sjablonen te verzamelen, zoals die welke beschikbaar zijn via het IIA. Sjablonen kunnen worden </w:t>
      </w:r>
      <w:r w:rsidRPr="006A0008">
        <w:rPr>
          <w:rFonts w:asciiTheme="minorHAnsi" w:hAnsiTheme="minorHAnsi" w:cstheme="minorHAnsi"/>
          <w:sz w:val="22"/>
          <w:szCs w:val="22"/>
          <w:lang w:val="nl-NL"/>
        </w:rPr>
        <w:lastRenderedPageBreak/>
        <w:t>aangepast aan de organisatie en de behoeften van de specifieke internal auditfunctie.</w:t>
      </w:r>
    </w:p>
    <w:p w:rsidR="00664F3B" w:rsidRPr="006A0008" w:rsidRDefault="00664F3B" w:rsidP="00664F3B">
      <w:pPr>
        <w:pStyle w:val="TemplateBodyText"/>
        <w:rPr>
          <w:rFonts w:asciiTheme="minorHAnsi" w:hAnsiTheme="minorHAnsi" w:cstheme="minorHAnsi"/>
          <w:sz w:val="22"/>
          <w:szCs w:val="22"/>
          <w:lang w:val="nl-NL"/>
        </w:rPr>
      </w:pPr>
      <w:r w:rsidRPr="006A0008">
        <w:rPr>
          <w:rFonts w:asciiTheme="minorHAnsi" w:hAnsiTheme="minorHAnsi" w:cstheme="minorHAnsi"/>
          <w:sz w:val="22"/>
          <w:szCs w:val="22"/>
          <w:lang w:val="nl-NL"/>
        </w:rPr>
        <w:t>Het is belangrijk dat de CAE bestaande strategieën, beleid en processen van de organisatie in overweging neemt, met inbegrip van de vraag of organisatorisch leiderschap internal auditbeleid en -procedures verwacht te evalueren en/of goed te keuren.</w:t>
      </w:r>
    </w:p>
    <w:p w:rsidR="002C0B84" w:rsidRPr="006A0008" w:rsidRDefault="002C0B84" w:rsidP="0081412E">
      <w:pPr>
        <w:pStyle w:val="TemplateHeadline"/>
        <w:rPr>
          <w:rFonts w:asciiTheme="minorHAnsi" w:hAnsiTheme="minorHAnsi" w:cstheme="minorHAnsi"/>
          <w:b/>
          <w:color w:val="000000"/>
          <w:sz w:val="22"/>
          <w:szCs w:val="22"/>
          <w:lang w:val="nl-NL"/>
        </w:rPr>
      </w:pPr>
    </w:p>
    <w:p w:rsidR="002F57B5" w:rsidRPr="006A0008" w:rsidRDefault="00685768" w:rsidP="002F57B5">
      <w:pPr>
        <w:pStyle w:val="TemplateHeadline"/>
        <w:rPr>
          <w:rFonts w:asciiTheme="minorHAnsi" w:hAnsiTheme="minorHAnsi" w:cstheme="minorHAnsi"/>
          <w:lang w:val="nl-NL"/>
        </w:rPr>
      </w:pPr>
      <w:r w:rsidRPr="006A0008">
        <w:rPr>
          <w:rFonts w:asciiTheme="minorHAnsi" w:hAnsiTheme="minorHAnsi" w:cstheme="minorHAnsi"/>
          <w:lang w:val="nl-NL"/>
        </w:rPr>
        <w:t xml:space="preserve">Overwegingen bij de implementatie </w:t>
      </w:r>
    </w:p>
    <w:p w:rsidR="005F5697" w:rsidRPr="006A0008" w:rsidRDefault="005F5697" w:rsidP="005F5697">
      <w:pPr>
        <w:pStyle w:val="TemplateBodyText"/>
        <w:rPr>
          <w:rFonts w:asciiTheme="minorHAnsi" w:hAnsiTheme="minorHAnsi" w:cstheme="minorHAnsi"/>
          <w:sz w:val="22"/>
          <w:szCs w:val="22"/>
          <w:lang w:val="nl-NL"/>
        </w:rPr>
      </w:pPr>
      <w:r w:rsidRPr="006A0008">
        <w:rPr>
          <w:rFonts w:asciiTheme="minorHAnsi" w:hAnsiTheme="minorHAnsi" w:cstheme="minorHAnsi"/>
          <w:sz w:val="22"/>
          <w:szCs w:val="22"/>
          <w:lang w:val="nl-NL"/>
        </w:rPr>
        <w:t>De CAE's implementatie van Standaard 2040 zal grotendeels afhangen van de structuur, de volwassenheid en de complexiteit van de organisatie en de internal auditfunctie. Hoewel een grote, volwassen internal auditfunctie een formele handleiding voor internal auditing kan hebben, die het beleid en de procedures bevat, kan het zo zijn dat een kleinere of minder volwassen organisatie die niet heeft. In plaats daarvan kunnen beleid en procedures als afzonderlijke documenten zijn gepubliceerd of als onderdeel van een auditmanagement-softwareprogramma zijn geïntegreerd.</w:t>
      </w:r>
    </w:p>
    <w:p w:rsidR="005F5697" w:rsidRPr="006A0008" w:rsidRDefault="005F5697" w:rsidP="005F5697">
      <w:pPr>
        <w:pStyle w:val="TemplateBodyText"/>
        <w:rPr>
          <w:rFonts w:asciiTheme="minorHAnsi" w:hAnsiTheme="minorHAnsi" w:cstheme="minorHAnsi"/>
          <w:sz w:val="22"/>
          <w:szCs w:val="22"/>
          <w:lang w:val="nl-NL"/>
        </w:rPr>
      </w:pPr>
      <w:r w:rsidRPr="006A0008">
        <w:rPr>
          <w:rFonts w:asciiTheme="minorHAnsi" w:hAnsiTheme="minorHAnsi" w:cstheme="minorHAnsi"/>
          <w:sz w:val="22"/>
          <w:szCs w:val="22"/>
          <w:lang w:val="nl-NL"/>
        </w:rPr>
        <w:t>De volgende onderwerpen worden in het algemeen opgenomen in een internal audithandleiding of anders gedocumenteerd om de internal auditfunctie een leidraad te bieden:</w:t>
      </w:r>
    </w:p>
    <w:p w:rsidR="005F5697" w:rsidRPr="006A0008" w:rsidRDefault="005F5697" w:rsidP="005F5697">
      <w:pPr>
        <w:pStyle w:val="RedBullets"/>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Internal auditbeleid.</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lang w:val="nl-NL"/>
        </w:rPr>
      </w:pPr>
      <w:r w:rsidRPr="006A0008">
        <w:rPr>
          <w:rFonts w:asciiTheme="minorHAnsi" w:hAnsiTheme="minorHAnsi" w:cstheme="minorHAnsi"/>
          <w:sz w:val="22"/>
          <w:szCs w:val="22"/>
          <w:lang w:val="nl-NL"/>
        </w:rPr>
        <w:t>Het algemene doel en de verantwoordelijkheden van de internal auditfunctie.</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lang w:val="nl-NL"/>
        </w:rPr>
      </w:pPr>
      <w:r w:rsidRPr="006A0008">
        <w:rPr>
          <w:rFonts w:asciiTheme="minorHAnsi" w:hAnsiTheme="minorHAnsi" w:cstheme="minorHAnsi"/>
          <w:sz w:val="22"/>
          <w:szCs w:val="22"/>
          <w:lang w:val="nl-NL"/>
        </w:rPr>
        <w:t>Voldoen aan de dwingende richtlijnen van het IPPF.</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Onafhankelijkheid en objectiviteit.</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Ethische normen.</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Bescherming van vertrouwelijke informatie.</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Documenten bewaren.</w:t>
      </w:r>
    </w:p>
    <w:p w:rsidR="005F5697" w:rsidRPr="006A0008" w:rsidRDefault="005F5697" w:rsidP="005F5697">
      <w:pPr>
        <w:pStyle w:val="RedBullets"/>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Internal auditprocedures.</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lang w:val="nl-NL"/>
        </w:rPr>
      </w:pPr>
      <w:r w:rsidRPr="006A0008">
        <w:rPr>
          <w:rFonts w:asciiTheme="minorHAnsi" w:hAnsiTheme="minorHAnsi" w:cstheme="minorHAnsi"/>
          <w:sz w:val="22"/>
          <w:szCs w:val="22"/>
          <w:lang w:val="nl-NL"/>
        </w:rPr>
        <w:t xml:space="preserve">Het opstellen van een </w:t>
      </w:r>
      <w:proofErr w:type="spellStart"/>
      <w:r w:rsidRPr="006A0008">
        <w:rPr>
          <w:rFonts w:asciiTheme="minorHAnsi" w:hAnsiTheme="minorHAnsi" w:cstheme="minorHAnsi"/>
          <w:sz w:val="22"/>
          <w:szCs w:val="22"/>
          <w:lang w:val="nl-NL"/>
        </w:rPr>
        <w:t>risicogebaseerd</w:t>
      </w:r>
      <w:proofErr w:type="spellEnd"/>
      <w:r w:rsidRPr="006A0008">
        <w:rPr>
          <w:rFonts w:asciiTheme="minorHAnsi" w:hAnsiTheme="minorHAnsi" w:cstheme="minorHAnsi"/>
          <w:sz w:val="22"/>
          <w:szCs w:val="22"/>
          <w:lang w:val="nl-NL"/>
        </w:rPr>
        <w:t xml:space="preserve"> auditplan.</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lang w:val="nl-NL"/>
        </w:rPr>
      </w:pPr>
      <w:r w:rsidRPr="006A0008">
        <w:rPr>
          <w:rFonts w:asciiTheme="minorHAnsi" w:hAnsiTheme="minorHAnsi" w:cstheme="minorHAnsi"/>
          <w:sz w:val="22"/>
          <w:szCs w:val="22"/>
          <w:lang w:val="nl-NL"/>
        </w:rPr>
        <w:t>Planning van een audit en voorbereiding van het werkprogramma voor de opdracht.</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Uitvoering van auditopdrachten.</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Documentatie van auditopdrachten.</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Communiceren van resultaten/rapportage.</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Bewakings- en follow-upprocessen.</w:t>
      </w:r>
    </w:p>
    <w:p w:rsidR="005F5697" w:rsidRPr="006A0008" w:rsidRDefault="005F5697" w:rsidP="005F5697">
      <w:pPr>
        <w:pStyle w:val="RedBullets"/>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Kwaliteitsbewakings- en verbeterprogramma.</w:t>
      </w:r>
    </w:p>
    <w:p w:rsidR="005F5697" w:rsidRPr="006A0008" w:rsidRDefault="005F5697" w:rsidP="005F5697">
      <w:pPr>
        <w:pStyle w:val="RedBullets"/>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lastRenderedPageBreak/>
        <w:t>Administratieve zaken.</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Opleidings- en certificeringsmogelijkheden.</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Vereisten voor doorlopende training.</w:t>
      </w:r>
    </w:p>
    <w:p w:rsidR="005F5697" w:rsidRPr="006A0008" w:rsidRDefault="005F5697" w:rsidP="005F5697">
      <w:pPr>
        <w:pStyle w:val="RedBullets"/>
        <w:numPr>
          <w:ilvl w:val="1"/>
          <w:numId w:val="3"/>
        </w:numPr>
        <w:tabs>
          <w:tab w:val="left" w:pos="4320"/>
        </w:tabs>
        <w:suppressAutoHyphens w:val="0"/>
        <w:spacing w:after="180" w:line="360" w:lineRule="atLeast"/>
        <w:contextualSpacing/>
        <w:rPr>
          <w:rFonts w:asciiTheme="minorHAnsi" w:hAnsiTheme="minorHAnsi" w:cstheme="minorHAnsi"/>
          <w:sz w:val="22"/>
          <w:szCs w:val="22"/>
        </w:rPr>
      </w:pPr>
      <w:r w:rsidRPr="006A0008">
        <w:rPr>
          <w:rFonts w:asciiTheme="minorHAnsi" w:hAnsiTheme="minorHAnsi" w:cstheme="minorHAnsi"/>
          <w:sz w:val="22"/>
          <w:szCs w:val="22"/>
          <w:lang w:val="nl-NL"/>
        </w:rPr>
        <w:t>Prestatiebeoordelingen.</w:t>
      </w:r>
    </w:p>
    <w:p w:rsidR="005F5697" w:rsidRPr="006A0008" w:rsidRDefault="005F5697" w:rsidP="005F5697">
      <w:pPr>
        <w:pStyle w:val="TemplateBodyText"/>
        <w:rPr>
          <w:rFonts w:asciiTheme="minorHAnsi" w:hAnsiTheme="minorHAnsi" w:cstheme="minorHAnsi"/>
          <w:sz w:val="22"/>
          <w:szCs w:val="22"/>
          <w:lang w:val="nl-NL"/>
        </w:rPr>
      </w:pPr>
      <w:r w:rsidRPr="006A0008">
        <w:rPr>
          <w:rFonts w:asciiTheme="minorHAnsi" w:hAnsiTheme="minorHAnsi" w:cstheme="minorHAnsi"/>
          <w:sz w:val="22"/>
          <w:szCs w:val="22"/>
          <w:lang w:val="nl-NL"/>
        </w:rPr>
        <w:t>Om ervoor te zorgen dat de internal auditmedewerkers goed geïnformeerd zijn over internal auditbeleid en -procedures, kan de CAE afzonderlijke documenten, trainingsmaterialen of een uitgebreide handleiding uitgeven; En trainingen kunnen worden uitgevoerd om de informatie te beoordelen. De CAE kan vereisen dat internal auditors een bevestigingsformulier ondertekenen, dat aangeeft dat zij het beleid en de procedures hebben gelezen en begrepen.</w:t>
      </w:r>
    </w:p>
    <w:p w:rsidR="005F5697" w:rsidRPr="006A0008" w:rsidRDefault="005F5697" w:rsidP="005F5697">
      <w:pPr>
        <w:pStyle w:val="TemplateBodyText"/>
        <w:rPr>
          <w:rFonts w:asciiTheme="minorHAnsi" w:hAnsiTheme="minorHAnsi" w:cstheme="minorHAnsi"/>
          <w:sz w:val="22"/>
          <w:szCs w:val="22"/>
          <w:lang w:val="nl-NL"/>
        </w:rPr>
      </w:pPr>
      <w:r w:rsidRPr="006A0008">
        <w:rPr>
          <w:rFonts w:asciiTheme="minorHAnsi" w:hAnsiTheme="minorHAnsi" w:cstheme="minorHAnsi"/>
          <w:sz w:val="22"/>
          <w:szCs w:val="22"/>
          <w:lang w:val="nl-NL"/>
        </w:rPr>
        <w:t>Internal auditbeleidsregels en -procedures dienen periodiek te worden herzien, hetzij door de CAE of door een internal auditmanager die aangesteld is om toezicht te houden op internal auditprocessen en nieuwe vraagstukken. Dergelijke beoordelingen kunnen worden opgenomen in de interne evaluaties van de internal auditfunctie (Standaard 1311) en de externe evaluatie die ten minste eenmaal per vijf jaar plaatsvindt (Standaard 1312).</w:t>
      </w:r>
    </w:p>
    <w:p w:rsidR="005F5697" w:rsidRPr="006A0008" w:rsidRDefault="005F5697" w:rsidP="005F5697">
      <w:pPr>
        <w:pStyle w:val="TemplateBodyText"/>
        <w:rPr>
          <w:rFonts w:asciiTheme="minorHAnsi" w:hAnsiTheme="minorHAnsi" w:cstheme="minorHAnsi"/>
          <w:sz w:val="22"/>
          <w:szCs w:val="22"/>
          <w:lang w:val="nl-NL"/>
        </w:rPr>
      </w:pPr>
      <w:r w:rsidRPr="006A0008">
        <w:rPr>
          <w:rFonts w:asciiTheme="minorHAnsi" w:hAnsiTheme="minorHAnsi" w:cstheme="minorHAnsi"/>
          <w:sz w:val="22"/>
          <w:szCs w:val="22"/>
          <w:lang w:val="nl-NL"/>
        </w:rPr>
        <w:t>Er kunnen voorstellen voor operationele wijzigingen worden gedaan als gevolg van het kwaliteitsbewakings- en verbeterprogramma of feedback van internal auditors of geauditeerde entiteiten (bv., via een klanttevredenheidsonderzoek). Als er procedurewijzigingen worden aangebracht, kunnen zij schriftelijk worden gecommuniceerd en/of worden besproken tijdens de vergaderingen van de internal auditmedewerkers om ervoor te zorgen dat de wijzigingen zijn begrepen. Er kan ook een training worden gegeven (bv. om nieuwe procedures te demonstreren).</w:t>
      </w:r>
    </w:p>
    <w:p w:rsidR="002F57B5" w:rsidRPr="006A0008" w:rsidRDefault="002F57B5" w:rsidP="002F57B5">
      <w:pPr>
        <w:pStyle w:val="TemplateHeadline"/>
        <w:rPr>
          <w:rFonts w:asciiTheme="minorHAnsi" w:hAnsiTheme="minorHAnsi" w:cstheme="minorHAnsi"/>
          <w:color w:val="000000"/>
          <w:sz w:val="22"/>
          <w:szCs w:val="22"/>
          <w:lang w:val="nl-NL"/>
        </w:rPr>
      </w:pPr>
    </w:p>
    <w:p w:rsidR="002F57B5" w:rsidRPr="006A0008" w:rsidRDefault="00685768" w:rsidP="002F57B5">
      <w:pPr>
        <w:pStyle w:val="TemplateHeadline"/>
        <w:rPr>
          <w:rFonts w:asciiTheme="minorHAnsi" w:hAnsiTheme="minorHAnsi" w:cstheme="minorHAnsi"/>
          <w:lang w:val="nl-NL"/>
        </w:rPr>
      </w:pPr>
      <w:r w:rsidRPr="006A0008">
        <w:rPr>
          <w:rFonts w:asciiTheme="minorHAnsi" w:hAnsiTheme="minorHAnsi" w:cstheme="minorHAnsi"/>
          <w:lang w:val="nl-NL"/>
        </w:rPr>
        <w:t>Overwegingen b</w:t>
      </w:r>
      <w:r w:rsidR="002F57B5" w:rsidRPr="006A0008">
        <w:rPr>
          <w:rFonts w:asciiTheme="minorHAnsi" w:hAnsiTheme="minorHAnsi" w:cstheme="minorHAnsi"/>
          <w:lang w:val="nl-NL"/>
        </w:rPr>
        <w:t>ij het aantonen van de naleving</w:t>
      </w:r>
    </w:p>
    <w:p w:rsidR="005F5697" w:rsidRPr="006A0008" w:rsidRDefault="005F5697" w:rsidP="005F5697">
      <w:pPr>
        <w:pStyle w:val="TemplateBodyText"/>
        <w:rPr>
          <w:rFonts w:asciiTheme="minorHAnsi" w:hAnsiTheme="minorHAnsi" w:cstheme="minorHAnsi"/>
          <w:sz w:val="22"/>
          <w:szCs w:val="22"/>
          <w:lang w:val="nl-NL"/>
        </w:rPr>
      </w:pPr>
      <w:r w:rsidRPr="006A0008">
        <w:rPr>
          <w:rFonts w:asciiTheme="minorHAnsi" w:hAnsiTheme="minorHAnsi" w:cstheme="minorHAnsi"/>
          <w:sz w:val="22"/>
          <w:szCs w:val="22"/>
          <w:lang w:val="nl-NL"/>
        </w:rPr>
        <w:t>Documentatie van beleid en procedures bewijst naleving van Standaard 2040. Bewijzen dat internal auditbeleid en -procedures duidelijk aan het internal auditpersoneel zijn meegedeeld, kunnen bestaan uit agenda's en notulen van vergaderingen, e-mails, getekende bevestigingen, een trainingsschema of soortgelijke documentatie van intern auditpersoneel.</w:t>
      </w:r>
    </w:p>
    <w:p w:rsidR="002F57B5" w:rsidRPr="006A0008" w:rsidRDefault="00685768" w:rsidP="00443735">
      <w:pPr>
        <w:pStyle w:val="TemplateBodyText"/>
        <w:rPr>
          <w:rFonts w:asciiTheme="minorHAnsi" w:hAnsiTheme="minorHAnsi" w:cstheme="minorHAnsi"/>
          <w:lang w:val="nl-NL"/>
        </w:rPr>
      </w:pPr>
      <w:r w:rsidRPr="006A0008">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3857625</wp:posOffset>
                </wp:positionV>
                <wp:extent cx="6400800" cy="51244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2445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3.75pt;width:7in;height:403.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6A0008"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AC6FE6">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AC6FE6">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664F3B" w:rsidRPr="00664F3B">
                            <w:rPr>
                              <w:rFonts w:ascii="Arial" w:hAnsi="Arial" w:cs="Arial"/>
                              <w:color w:val="0F1F4B"/>
                              <w:lang w:val="nl-NL"/>
                            </w:rPr>
                            <w:t xml:space="preserve">2040 </w:t>
                          </w:r>
                          <w:r w:rsidR="006A0008">
                            <w:rPr>
                              <w:rFonts w:ascii="Arial" w:hAnsi="Arial" w:cs="Arial"/>
                              <w:color w:val="0F1F4B"/>
                              <w:lang w:val="nl-NL"/>
                            </w:rPr>
                            <w:t>-</w:t>
                          </w:r>
                          <w:r w:rsidR="00664F3B" w:rsidRPr="00664F3B">
                            <w:rPr>
                              <w:rFonts w:ascii="Arial" w:hAnsi="Arial" w:cs="Arial"/>
                              <w:color w:val="0F1F4B"/>
                              <w:lang w:val="nl-NL"/>
                            </w:rPr>
                            <w:t xml:space="preserve"> Beleidsmaatregelen en procedures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664F3B" w:rsidRPr="00664F3B">
                      <w:rPr>
                        <w:rFonts w:ascii="Arial" w:hAnsi="Arial" w:cs="Arial"/>
                        <w:color w:val="0F1F4B"/>
                        <w:lang w:val="nl-NL"/>
                      </w:rPr>
                      <w:t xml:space="preserve">2040 </w:t>
                    </w:r>
                    <w:r w:rsidR="006A0008">
                      <w:rPr>
                        <w:rFonts w:ascii="Arial" w:hAnsi="Arial" w:cs="Arial"/>
                        <w:color w:val="0F1F4B"/>
                        <w:lang w:val="nl-NL"/>
                      </w:rPr>
                      <w:t>-</w:t>
                    </w:r>
                    <w:r w:rsidR="00664F3B" w:rsidRPr="00664F3B">
                      <w:rPr>
                        <w:rFonts w:ascii="Arial" w:hAnsi="Arial" w:cs="Arial"/>
                        <w:color w:val="0F1F4B"/>
                        <w:lang w:val="nl-NL"/>
                      </w:rPr>
                      <w:t xml:space="preserve"> Beleidsmaatregelen en procedures</w:t>
                    </w:r>
                  </w:p>
                </w:txbxContent>
              </v:textbox>
              <w10:wrap type="through" anchorx="margin" anchory="margin"/>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60D4"/>
    <w:rsid w:val="001B11A8"/>
    <w:rsid w:val="001E5BA3"/>
    <w:rsid w:val="00284E07"/>
    <w:rsid w:val="002C0B84"/>
    <w:rsid w:val="002F57B5"/>
    <w:rsid w:val="00443735"/>
    <w:rsid w:val="005A0CAD"/>
    <w:rsid w:val="005C501B"/>
    <w:rsid w:val="005F5697"/>
    <w:rsid w:val="00664F3B"/>
    <w:rsid w:val="00665553"/>
    <w:rsid w:val="00685768"/>
    <w:rsid w:val="006A0008"/>
    <w:rsid w:val="0081412E"/>
    <w:rsid w:val="008F2569"/>
    <w:rsid w:val="0097657B"/>
    <w:rsid w:val="00A96503"/>
    <w:rsid w:val="00AA0CBD"/>
    <w:rsid w:val="00AC6FE6"/>
    <w:rsid w:val="00AD5263"/>
    <w:rsid w:val="00BC3D33"/>
    <w:rsid w:val="00C6368B"/>
    <w:rsid w:val="00DF51BE"/>
    <w:rsid w:val="00E90A08"/>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451F44-905A-4579-A5FF-09FED03DC539}">
  <ds:schemaRefs>
    <ds:schemaRef ds:uri="http://schemas.openxmlformats.org/officeDocument/2006/bibliography"/>
  </ds:schemaRefs>
</ds:datastoreItem>
</file>

<file path=customXml/itemProps2.xml><?xml version="1.0" encoding="utf-8"?>
<ds:datastoreItem xmlns:ds="http://schemas.openxmlformats.org/officeDocument/2006/customXml" ds:itemID="{E6733D54-C61F-49AF-B4B2-6FB6A7141493}"/>
</file>

<file path=customXml/itemProps3.xml><?xml version="1.0" encoding="utf-8"?>
<ds:datastoreItem xmlns:ds="http://schemas.openxmlformats.org/officeDocument/2006/customXml" ds:itemID="{B542EA71-3139-47C2-B286-62469B44E53F}"/>
</file>

<file path=customXml/itemProps4.xml><?xml version="1.0" encoding="utf-8"?>
<ds:datastoreItem xmlns:ds="http://schemas.openxmlformats.org/officeDocument/2006/customXml" ds:itemID="{A82F9DB1-0FEF-44A4-826A-4A7DC3C8FDC2}"/>
</file>

<file path=docProps/app.xml><?xml version="1.0" encoding="utf-8"?>
<Properties xmlns="http://schemas.openxmlformats.org/officeDocument/2006/extended-properties" xmlns:vt="http://schemas.openxmlformats.org/officeDocument/2006/docPropsVTypes">
  <Template>10041221</Template>
  <TotalTime>3</TotalTime>
  <Pages>4</Pages>
  <Words>678</Words>
  <Characters>3733</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4403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6</cp:revision>
  <dcterms:created xsi:type="dcterms:W3CDTF">2017-08-18T13:26:00Z</dcterms:created>
  <dcterms:modified xsi:type="dcterms:W3CDTF">2017-08-21T13:37:00Z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