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2A3DD5" w:rsidRDefault="00C6368B" w:rsidP="002F57B5">
      <w:pPr>
        <w:pStyle w:val="TemplateHeadline"/>
        <w:rPr>
          <w:rFonts w:asciiTheme="minorHAnsi" w:hAnsiTheme="minorHAnsi" w:cstheme="minorHAnsi"/>
        </w:rPr>
      </w:pPr>
      <w:r w:rsidRPr="002A3DD5">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1514475</wp:posOffset>
                </wp:positionV>
                <wp:extent cx="6400800" cy="57721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7721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2A3DD5" w:rsidRDefault="002F57B5" w:rsidP="002F57B5">
                            <w:pPr>
                              <w:pStyle w:val="TemplateHeadline"/>
                              <w:rPr>
                                <w:rFonts w:asciiTheme="majorHAnsi" w:hAnsiTheme="majorHAnsi" w:cstheme="majorHAnsi"/>
                                <w:lang w:val="nl-NL"/>
                              </w:rPr>
                            </w:pPr>
                            <w:bookmarkStart w:id="0" w:name="_GoBack"/>
                            <w:bookmarkEnd w:id="0"/>
                            <w:r w:rsidRPr="002A3DD5">
                              <w:rPr>
                                <w:rFonts w:asciiTheme="majorHAnsi" w:hAnsiTheme="majorHAnsi" w:cstheme="majorHAnsi"/>
                                <w:lang w:val="nl-NL"/>
                              </w:rPr>
                              <w:t xml:space="preserve">Standaard </w:t>
                            </w:r>
                            <w:r w:rsidR="007B02E8" w:rsidRPr="002A3DD5">
                              <w:rPr>
                                <w:rFonts w:asciiTheme="majorHAnsi" w:hAnsiTheme="majorHAnsi" w:cstheme="majorHAnsi"/>
                                <w:lang w:val="nl-NL"/>
                              </w:rPr>
                              <w:t>2410 – Criteria voor de communicatie</w:t>
                            </w:r>
                          </w:p>
                          <w:p w:rsidR="007B02E8" w:rsidRPr="002A3DD5" w:rsidRDefault="007B02E8" w:rsidP="007B02E8">
                            <w:pPr>
                              <w:autoSpaceDE w:val="0"/>
                              <w:autoSpaceDN w:val="0"/>
                              <w:adjustRightInd w:val="0"/>
                              <w:spacing w:before="100" w:beforeAutospacing="1" w:after="100" w:afterAutospacing="1"/>
                              <w:jc w:val="both"/>
                              <w:rPr>
                                <w:rFonts w:cstheme="minorHAnsi"/>
                                <w:color w:val="000000"/>
                                <w:sz w:val="22"/>
                                <w:szCs w:val="22"/>
                                <w:lang w:val="nl-NL"/>
                              </w:rPr>
                            </w:pPr>
                            <w:r w:rsidRPr="002A3DD5">
                              <w:rPr>
                                <w:rFonts w:cstheme="minorHAnsi"/>
                                <w:color w:val="000000"/>
                                <w:sz w:val="22"/>
                                <w:szCs w:val="22"/>
                                <w:lang w:val="nl-NL"/>
                              </w:rPr>
                              <w:t>Communicatie moet de doelstellingen en reikwijdte van de opdracht, evenals de resultaten daarvan omvatten.</w:t>
                            </w:r>
                          </w:p>
                          <w:p w:rsidR="00E269AE" w:rsidRPr="002A3DD5" w:rsidRDefault="007B02E8" w:rsidP="007B02E8">
                            <w:pPr>
                              <w:autoSpaceDE w:val="0"/>
                              <w:autoSpaceDN w:val="0"/>
                              <w:adjustRightInd w:val="0"/>
                              <w:spacing w:before="100" w:beforeAutospacing="1" w:after="100" w:afterAutospacing="1"/>
                              <w:jc w:val="both"/>
                              <w:rPr>
                                <w:rFonts w:cstheme="minorHAnsi"/>
                                <w:color w:val="000000"/>
                                <w:sz w:val="22"/>
                                <w:szCs w:val="22"/>
                                <w:lang w:val="nl-NL"/>
                              </w:rPr>
                            </w:pPr>
                            <w:r w:rsidRPr="002A3DD5">
                              <w:rPr>
                                <w:rFonts w:cstheme="minorHAnsi"/>
                                <w:b/>
                                <w:color w:val="000000"/>
                                <w:sz w:val="22"/>
                                <w:szCs w:val="22"/>
                                <w:lang w:val="nl-NL"/>
                              </w:rPr>
                              <w:t>2410.A1</w:t>
                            </w:r>
                            <w:r w:rsidRPr="002A3DD5">
                              <w:rPr>
                                <w:rFonts w:cstheme="minorHAnsi"/>
                                <w:color w:val="000000"/>
                                <w:sz w:val="22"/>
                                <w:szCs w:val="22"/>
                                <w:lang w:val="nl-NL"/>
                              </w:rPr>
                              <w:t xml:space="preserve"> – Communicatie van de uiteindelijke resultaten moet de desbetreffende conclusies en aanbevelingen en/of actieplannen omvatten. Waar van toepassing, dient de internal auditor zijn persoonlijke advies te geven. Een dergelijk advies moet rekening houden met de verwachtingen van het senior management, het bestuur en de overige stakeholders, en moet uitgaan van toereikende, betrouwbare, relevante en nuttige informatie.</w:t>
                            </w:r>
                          </w:p>
                          <w:p w:rsidR="00E269AE" w:rsidRPr="002A3DD5" w:rsidRDefault="00E269AE" w:rsidP="00E269AE">
                            <w:pPr>
                              <w:spacing w:before="100" w:beforeAutospacing="1" w:after="100" w:afterAutospacing="1"/>
                              <w:rPr>
                                <w:rFonts w:cstheme="minorHAnsi"/>
                                <w:color w:val="000000"/>
                                <w:sz w:val="22"/>
                                <w:szCs w:val="22"/>
                                <w:lang w:val="nl-NL"/>
                              </w:rPr>
                            </w:pPr>
                            <w:r w:rsidRPr="002A3DD5">
                              <w:rPr>
                                <w:rFonts w:cstheme="minorHAnsi"/>
                                <w:b/>
                                <w:bCs/>
                                <w:color w:val="000000"/>
                                <w:sz w:val="22"/>
                                <w:szCs w:val="22"/>
                                <w:lang w:val="nl-NL"/>
                              </w:rPr>
                              <w:t>Interpretatie:</w:t>
                            </w:r>
                          </w:p>
                          <w:p w:rsidR="00963DFA" w:rsidRPr="002A3DD5" w:rsidRDefault="007B02E8" w:rsidP="00963DFA">
                            <w:pPr>
                              <w:spacing w:before="100" w:beforeAutospacing="1" w:after="100" w:afterAutospacing="1"/>
                              <w:rPr>
                                <w:rFonts w:cstheme="minorHAnsi"/>
                                <w:i/>
                                <w:iCs/>
                                <w:color w:val="000000"/>
                                <w:sz w:val="22"/>
                                <w:szCs w:val="22"/>
                                <w:lang w:val="nl-NL"/>
                              </w:rPr>
                            </w:pPr>
                            <w:r w:rsidRPr="002A3DD5">
                              <w:rPr>
                                <w:rFonts w:cstheme="minorHAnsi"/>
                                <w:i/>
                                <w:iCs/>
                                <w:color w:val="000000"/>
                                <w:sz w:val="22"/>
                                <w:szCs w:val="22"/>
                                <w:lang w:val="nl-NL"/>
                              </w:rPr>
                              <w:t>Adviezen op opdrachtniveau kunnen classificaties, conclusies of overige omschrijvingen van de resultaten zijn. Een dergelijke opdracht kan betrekking hebben op beheersmaatregelen omtrent een specifiek proces, een specifiek risico of een specifieke bedrijfsentiteit. Het opstellen van dergelijke adviezen vereist dat de resultaten van de opdracht en hun specifieke belang worden overwogen.</w:t>
                            </w:r>
                            <w:r w:rsidR="00963DFA" w:rsidRPr="002A3DD5">
                              <w:rPr>
                                <w:rFonts w:cstheme="minorHAnsi"/>
                                <w:i/>
                                <w:iCs/>
                                <w:color w:val="000000"/>
                                <w:sz w:val="22"/>
                                <w:szCs w:val="22"/>
                                <w:lang w:val="nl-NL"/>
                              </w:rPr>
                              <w:t xml:space="preserve"> </w:t>
                            </w:r>
                            <w:r w:rsidR="00E269AE" w:rsidRPr="002A3DD5">
                              <w:rPr>
                                <w:rFonts w:cstheme="minorHAnsi"/>
                                <w:i/>
                                <w:iCs/>
                                <w:color w:val="000000"/>
                                <w:sz w:val="22"/>
                                <w:szCs w:val="22"/>
                                <w:lang w:val="nl-NL"/>
                              </w:rPr>
                              <w:t xml:space="preserve"> </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2410.A2</w:t>
                            </w:r>
                            <w:r w:rsidRPr="002A3DD5">
                              <w:rPr>
                                <w:rFonts w:cstheme="minorHAnsi"/>
                                <w:color w:val="000000"/>
                                <w:sz w:val="22"/>
                                <w:szCs w:val="22"/>
                                <w:lang w:val="nl-NL"/>
                              </w:rPr>
                              <w:t xml:space="preserve"> – Internal auditors worden aangemoedigd om bevredigende resultaten te onderkennen in de communicatie over de opdracht.</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2410.A3</w:t>
                            </w:r>
                            <w:r w:rsidRPr="002A3DD5">
                              <w:rPr>
                                <w:rFonts w:cstheme="minorHAnsi"/>
                                <w:color w:val="000000"/>
                                <w:sz w:val="22"/>
                                <w:szCs w:val="22"/>
                                <w:lang w:val="nl-NL"/>
                              </w:rPr>
                              <w:t xml:space="preserve"> – Bij het vrijgeven van de auditresultaten aan partijen buiten de organisatie, moeten ook de beperkingen worden aangegeven voor de verspreiding en het gebruik van de resultaten.</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2410.C1</w:t>
                            </w:r>
                            <w:r w:rsidRPr="002A3DD5">
                              <w:rPr>
                                <w:rFonts w:cstheme="minorHAnsi"/>
                                <w:color w:val="000000"/>
                                <w:sz w:val="22"/>
                                <w:szCs w:val="22"/>
                                <w:lang w:val="nl-NL"/>
                              </w:rPr>
                              <w:t xml:space="preserve"> – De communicatie van het verloop en de resultaten van een adviesopdracht zal qua vorm en inhoud variëren, afhankelijk van de aard van de opdracht en de wensen van de opdrachtgever.</w:t>
                            </w:r>
                          </w:p>
                          <w:p w:rsidR="00963DFA" w:rsidRPr="002A3DD5" w:rsidRDefault="00963DFA" w:rsidP="00963DFA">
                            <w:pPr>
                              <w:pStyle w:val="RedBullets"/>
                              <w:numPr>
                                <w:ilvl w:val="0"/>
                                <w:numId w:val="0"/>
                              </w:numPr>
                              <w:jc w:val="right"/>
                              <w:rPr>
                                <w:rFonts w:asciiTheme="minorHAnsi" w:hAnsiTheme="minorHAnsi" w:cstheme="minorHAnsi"/>
                                <w:sz w:val="22"/>
                                <w:szCs w:val="22"/>
                                <w:lang w:val="nl-NL"/>
                              </w:rPr>
                            </w:pPr>
                            <w:proofErr w:type="spellStart"/>
                            <w:r w:rsidRPr="002A3DD5">
                              <w:rPr>
                                <w:rFonts w:asciiTheme="minorHAnsi" w:hAnsiTheme="minorHAnsi" w:cstheme="minorHAnsi"/>
                                <w:sz w:val="22"/>
                                <w:szCs w:val="22"/>
                                <w:lang w:val="nl-NL"/>
                              </w:rPr>
                              <w:t>Herziene</w:t>
                            </w:r>
                            <w:proofErr w:type="spellEnd"/>
                            <w:r w:rsidRPr="002A3DD5">
                              <w:rPr>
                                <w:rFonts w:asciiTheme="minorHAnsi" w:hAnsiTheme="minorHAnsi" w:cstheme="minorHAnsi"/>
                                <w:sz w:val="22"/>
                                <w:szCs w:val="22"/>
                                <w:lang w:val="nl-NL"/>
                              </w:rPr>
                              <w:t xml:space="preserve"> </w:t>
                            </w:r>
                            <w:r w:rsidRPr="002A3DD5">
                              <w:rPr>
                                <w:rFonts w:asciiTheme="minorHAnsi" w:hAnsiTheme="minorHAnsi" w:cstheme="minorHAnsi"/>
                                <w:i/>
                                <w:sz w:val="22"/>
                                <w:szCs w:val="22"/>
                                <w:lang w:val="nl-NL"/>
                              </w:rPr>
                              <w:t>Standaarden</w:t>
                            </w:r>
                            <w:r w:rsidRPr="002A3DD5">
                              <w:rPr>
                                <w:rFonts w:asciiTheme="minorHAnsi" w:hAnsiTheme="minorHAnsi" w:cstheme="min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9.25pt;width:7in;height:454.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9h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aZYlceqrHz6ZK23sJyY75IgCa2ierynZXRkLoYDqqOK8Gcnbumo59w83MGzBNdoRaPVqHXtTvu2+&#10;yHrg5WkE/gccP19O3aO+QOLC4QnpkAflgQOJQBhO5lLyvf1VlWUyXZ4ug2V+lgWTFUuCvIomwWU5&#10;SeNFllXxMvs9zNiT0SLNkjJLz4JpmcbBJI7yoCyjJFhWZVRGk2pxNrn0RpDv6DR0bRjK7Sn7yJkL&#10;hYuvrIH2+aq/UQdCKRPWNwzQvLbTaiC39xge9H3yfqneY8xGC+9ZCns07lohte/TsR9Dq+rvY8jN&#10;oA9tepa3I22/6g/juZL1I0ynlsN2G0WrFiboihh7SzSsM0wdnCh7A5+Gy32B5YHCaCP1z7f4Th+2&#10;DKQY7eE8FNj82BLNMOKfBexfnCd57g6Kf51GcZYmGOkXstULmdh2CwmjGcNBVNSTYK8tH8lGy+4B&#10;rlnpPIOICAr+C2xHcmGHwwXXkLKy9EpwRRSxV+JOUQftSux25L5/IFodFsnCFF3L8ZiQ2at9GnSd&#10;pZDl1sqm9cvmijxU9lB8uEB+Ww7X0p2452+v9XTT538AAAD//wMAUEsDBBQABgAIAAAAIQAaHxk0&#10;4QAAAAoBAAAPAAAAZHJzL2Rvd25yZXYueG1sTI9BT8JAEIXvJv6HzZh4MbJLAam1W2JIvHgREMJ1&#10;ace2sTvbdLel+usdTnibmffy5nvparSNGLDztSMN04kCgZS7oqZSw/7z7TEG4YOhwjSOUMMPelhl&#10;tzepSQp3pi0Ou1AKDiGfGA1VCG0ipc8rtMZPXIvE2pfrrAm8dqUsOnPmcNvISKknaU1N/KEyLa4r&#10;zL93vdUwHuTDup4Px4/o/ffQbzfH5w3NtL6/G19fQAQcw9UMF3xGh4yZTq6nwotGAxcJGqJZvABx&#10;kZWK+XTiaTpfLkBmqfxfIfsDAAD//wMAUEsBAi0AFAAGAAgAAAAhALaDOJL+AAAA4QEAABMAAAAA&#10;AAAAAAAAAAAAAAAAAFtDb250ZW50X1R5cGVzXS54bWxQSwECLQAUAAYACAAAACEAOP0h/9YAAACU&#10;AQAACwAAAAAAAAAAAAAAAAAvAQAAX3JlbHMvLnJlbHNQSwECLQAUAAYACAAAACEADjz/YewCAAAb&#10;BgAADgAAAAAAAAAAAAAAAAAuAgAAZHJzL2Uyb0RvYy54bWxQSwECLQAUAAYACAAAACEAGh8ZNOEA&#10;AAAKAQAADwAAAAAAAAAAAAAAAABGBQAAZHJzL2Rvd25yZXYueG1sUEsFBgAAAAAEAAQA8wAAAFQG&#10;AAAAAA==&#10;" fillcolor="#d8d8d8 [2732]" stroked="f">
                <v:textbox inset="14.4pt,23.76pt,14.4pt,23.76pt">
                  <w:txbxContent>
                    <w:p w:rsidR="002F57B5" w:rsidRPr="002A3DD5" w:rsidRDefault="002F57B5" w:rsidP="002F57B5">
                      <w:pPr>
                        <w:pStyle w:val="TemplateHeadline"/>
                        <w:rPr>
                          <w:rFonts w:asciiTheme="majorHAnsi" w:hAnsiTheme="majorHAnsi" w:cstheme="majorHAnsi"/>
                          <w:lang w:val="nl-NL"/>
                        </w:rPr>
                      </w:pPr>
                      <w:bookmarkStart w:id="1" w:name="_GoBack"/>
                      <w:bookmarkEnd w:id="1"/>
                      <w:r w:rsidRPr="002A3DD5">
                        <w:rPr>
                          <w:rFonts w:asciiTheme="majorHAnsi" w:hAnsiTheme="majorHAnsi" w:cstheme="majorHAnsi"/>
                          <w:lang w:val="nl-NL"/>
                        </w:rPr>
                        <w:t xml:space="preserve">Standaard </w:t>
                      </w:r>
                      <w:r w:rsidR="007B02E8" w:rsidRPr="002A3DD5">
                        <w:rPr>
                          <w:rFonts w:asciiTheme="majorHAnsi" w:hAnsiTheme="majorHAnsi" w:cstheme="majorHAnsi"/>
                          <w:lang w:val="nl-NL"/>
                        </w:rPr>
                        <w:t>2410 – Criteria voor de communicatie</w:t>
                      </w:r>
                    </w:p>
                    <w:p w:rsidR="007B02E8" w:rsidRPr="002A3DD5" w:rsidRDefault="007B02E8" w:rsidP="007B02E8">
                      <w:pPr>
                        <w:autoSpaceDE w:val="0"/>
                        <w:autoSpaceDN w:val="0"/>
                        <w:adjustRightInd w:val="0"/>
                        <w:spacing w:before="100" w:beforeAutospacing="1" w:after="100" w:afterAutospacing="1"/>
                        <w:jc w:val="both"/>
                        <w:rPr>
                          <w:rFonts w:cstheme="minorHAnsi"/>
                          <w:color w:val="000000"/>
                          <w:sz w:val="22"/>
                          <w:szCs w:val="22"/>
                          <w:lang w:val="nl-NL"/>
                        </w:rPr>
                      </w:pPr>
                      <w:r w:rsidRPr="002A3DD5">
                        <w:rPr>
                          <w:rFonts w:cstheme="minorHAnsi"/>
                          <w:color w:val="000000"/>
                          <w:sz w:val="22"/>
                          <w:szCs w:val="22"/>
                          <w:lang w:val="nl-NL"/>
                        </w:rPr>
                        <w:t>Communicatie moet de doelstellingen en reikwijdte van de opdracht, evenals de resultaten daarvan omvatten.</w:t>
                      </w:r>
                    </w:p>
                    <w:p w:rsidR="00E269AE" w:rsidRPr="002A3DD5" w:rsidRDefault="007B02E8" w:rsidP="007B02E8">
                      <w:pPr>
                        <w:autoSpaceDE w:val="0"/>
                        <w:autoSpaceDN w:val="0"/>
                        <w:adjustRightInd w:val="0"/>
                        <w:spacing w:before="100" w:beforeAutospacing="1" w:after="100" w:afterAutospacing="1"/>
                        <w:jc w:val="both"/>
                        <w:rPr>
                          <w:rFonts w:cstheme="minorHAnsi"/>
                          <w:color w:val="000000"/>
                          <w:sz w:val="22"/>
                          <w:szCs w:val="22"/>
                          <w:lang w:val="nl-NL"/>
                        </w:rPr>
                      </w:pPr>
                      <w:r w:rsidRPr="002A3DD5">
                        <w:rPr>
                          <w:rFonts w:cstheme="minorHAnsi"/>
                          <w:b/>
                          <w:color w:val="000000"/>
                          <w:sz w:val="22"/>
                          <w:szCs w:val="22"/>
                          <w:lang w:val="nl-NL"/>
                        </w:rPr>
                        <w:t>2410.A1</w:t>
                      </w:r>
                      <w:r w:rsidRPr="002A3DD5">
                        <w:rPr>
                          <w:rFonts w:cstheme="minorHAnsi"/>
                          <w:color w:val="000000"/>
                          <w:sz w:val="22"/>
                          <w:szCs w:val="22"/>
                          <w:lang w:val="nl-NL"/>
                        </w:rPr>
                        <w:t xml:space="preserve"> – Communicatie van de uiteindelijke resultaten moet de desbetreffende conclusies en aanbevelingen en/of actieplannen omvatten. Waar van toepassing, dient de internal auditor zijn persoonlijke advies te geven. Een dergelijk advies moet rekening houden met de verwachtingen van het senior management, het bestuur en de overige stakeholders, en moet uitgaan van toereikende, betrouwbare, relevante en nuttige informatie.</w:t>
                      </w:r>
                    </w:p>
                    <w:p w:rsidR="00E269AE" w:rsidRPr="002A3DD5" w:rsidRDefault="00E269AE" w:rsidP="00E269AE">
                      <w:pPr>
                        <w:spacing w:before="100" w:beforeAutospacing="1" w:after="100" w:afterAutospacing="1"/>
                        <w:rPr>
                          <w:rFonts w:cstheme="minorHAnsi"/>
                          <w:color w:val="000000"/>
                          <w:sz w:val="22"/>
                          <w:szCs w:val="22"/>
                          <w:lang w:val="nl-NL"/>
                        </w:rPr>
                      </w:pPr>
                      <w:r w:rsidRPr="002A3DD5">
                        <w:rPr>
                          <w:rFonts w:cstheme="minorHAnsi"/>
                          <w:b/>
                          <w:bCs/>
                          <w:color w:val="000000"/>
                          <w:sz w:val="22"/>
                          <w:szCs w:val="22"/>
                          <w:lang w:val="nl-NL"/>
                        </w:rPr>
                        <w:t>Interpretatie:</w:t>
                      </w:r>
                    </w:p>
                    <w:p w:rsidR="00963DFA" w:rsidRPr="002A3DD5" w:rsidRDefault="007B02E8" w:rsidP="00963DFA">
                      <w:pPr>
                        <w:spacing w:before="100" w:beforeAutospacing="1" w:after="100" w:afterAutospacing="1"/>
                        <w:rPr>
                          <w:rFonts w:cstheme="minorHAnsi"/>
                          <w:i/>
                          <w:iCs/>
                          <w:color w:val="000000"/>
                          <w:sz w:val="22"/>
                          <w:szCs w:val="22"/>
                          <w:lang w:val="nl-NL"/>
                        </w:rPr>
                      </w:pPr>
                      <w:r w:rsidRPr="002A3DD5">
                        <w:rPr>
                          <w:rFonts w:cstheme="minorHAnsi"/>
                          <w:i/>
                          <w:iCs/>
                          <w:color w:val="000000"/>
                          <w:sz w:val="22"/>
                          <w:szCs w:val="22"/>
                          <w:lang w:val="nl-NL"/>
                        </w:rPr>
                        <w:t>Adviezen op opdrachtniveau kunnen classificaties, conclusies of overige omschrijvingen van de resultaten zijn. Een dergelijke opdracht kan betrekking hebben op beheersmaatregelen omtrent een specifiek proces, een specifiek risico of een specifieke bedrijfsentiteit. Het opstellen van dergelijke adviezen vereist dat de resultaten van de opdracht en hun specifieke belang worden overwogen.</w:t>
                      </w:r>
                      <w:r w:rsidR="00963DFA" w:rsidRPr="002A3DD5">
                        <w:rPr>
                          <w:rFonts w:cstheme="minorHAnsi"/>
                          <w:i/>
                          <w:iCs/>
                          <w:color w:val="000000"/>
                          <w:sz w:val="22"/>
                          <w:szCs w:val="22"/>
                          <w:lang w:val="nl-NL"/>
                        </w:rPr>
                        <w:t xml:space="preserve"> </w:t>
                      </w:r>
                      <w:r w:rsidR="00E269AE" w:rsidRPr="002A3DD5">
                        <w:rPr>
                          <w:rFonts w:cstheme="minorHAnsi"/>
                          <w:i/>
                          <w:iCs/>
                          <w:color w:val="000000"/>
                          <w:sz w:val="22"/>
                          <w:szCs w:val="22"/>
                          <w:lang w:val="nl-NL"/>
                        </w:rPr>
                        <w:t xml:space="preserve"> </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2410.A2</w:t>
                      </w:r>
                      <w:r w:rsidRPr="002A3DD5">
                        <w:rPr>
                          <w:rFonts w:cstheme="minorHAnsi"/>
                          <w:color w:val="000000"/>
                          <w:sz w:val="22"/>
                          <w:szCs w:val="22"/>
                          <w:lang w:val="nl-NL"/>
                        </w:rPr>
                        <w:t xml:space="preserve"> – Internal auditors worden aangemoedigd om bevredigende resultaten te onderkennen in de communicatie over de opdracht.</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2410.A3</w:t>
                      </w:r>
                      <w:r w:rsidRPr="002A3DD5">
                        <w:rPr>
                          <w:rFonts w:cstheme="minorHAnsi"/>
                          <w:color w:val="000000"/>
                          <w:sz w:val="22"/>
                          <w:szCs w:val="22"/>
                          <w:lang w:val="nl-NL"/>
                        </w:rPr>
                        <w:t xml:space="preserve"> – Bij het vrijgeven van de auditresultaten aan partijen buiten de organisatie, moeten ook de beperkingen worden aangegeven voor de verspreiding en het gebruik van de resultaten.</w:t>
                      </w:r>
                    </w:p>
                    <w:p w:rsidR="007B02E8" w:rsidRPr="002A3DD5" w:rsidRDefault="007B02E8" w:rsidP="007B02E8">
                      <w:pPr>
                        <w:spacing w:before="100" w:beforeAutospacing="1" w:after="100" w:afterAutospacing="1"/>
                        <w:rPr>
                          <w:rFonts w:cstheme="minorHAnsi"/>
                          <w:color w:val="000000"/>
                          <w:sz w:val="22"/>
                          <w:szCs w:val="22"/>
                          <w:lang w:val="nl-NL"/>
                        </w:rPr>
                      </w:pPr>
                      <w:r w:rsidRPr="002A3DD5">
                        <w:rPr>
                          <w:rFonts w:cstheme="minorHAnsi"/>
                          <w:b/>
                          <w:color w:val="000000"/>
                          <w:sz w:val="22"/>
                          <w:szCs w:val="22"/>
                          <w:lang w:val="nl-NL"/>
                        </w:rPr>
                        <w:t>2410.C1</w:t>
                      </w:r>
                      <w:r w:rsidRPr="002A3DD5">
                        <w:rPr>
                          <w:rFonts w:cstheme="minorHAnsi"/>
                          <w:color w:val="000000"/>
                          <w:sz w:val="22"/>
                          <w:szCs w:val="22"/>
                          <w:lang w:val="nl-NL"/>
                        </w:rPr>
                        <w:t xml:space="preserve"> – De communicatie van het verloop en de resultaten van een adviesopdracht zal qua vorm en inhoud variëren, afhankelijk van de aard van de opdracht en de wensen van de opdrachtgever.</w:t>
                      </w:r>
                    </w:p>
                    <w:p w:rsidR="00963DFA" w:rsidRPr="002A3DD5" w:rsidRDefault="00963DFA" w:rsidP="00963DFA">
                      <w:pPr>
                        <w:pStyle w:val="RedBullets"/>
                        <w:numPr>
                          <w:ilvl w:val="0"/>
                          <w:numId w:val="0"/>
                        </w:numPr>
                        <w:jc w:val="right"/>
                        <w:rPr>
                          <w:rFonts w:asciiTheme="minorHAnsi" w:hAnsiTheme="minorHAnsi" w:cstheme="minorHAnsi"/>
                          <w:sz w:val="22"/>
                          <w:szCs w:val="22"/>
                          <w:lang w:val="nl-NL"/>
                        </w:rPr>
                      </w:pPr>
                      <w:proofErr w:type="spellStart"/>
                      <w:r w:rsidRPr="002A3DD5">
                        <w:rPr>
                          <w:rFonts w:asciiTheme="minorHAnsi" w:hAnsiTheme="minorHAnsi" w:cstheme="minorHAnsi"/>
                          <w:sz w:val="22"/>
                          <w:szCs w:val="22"/>
                          <w:lang w:val="nl-NL"/>
                        </w:rPr>
                        <w:t>Herziene</w:t>
                      </w:r>
                      <w:proofErr w:type="spellEnd"/>
                      <w:r w:rsidRPr="002A3DD5">
                        <w:rPr>
                          <w:rFonts w:asciiTheme="minorHAnsi" w:hAnsiTheme="minorHAnsi" w:cstheme="minorHAnsi"/>
                          <w:sz w:val="22"/>
                          <w:szCs w:val="22"/>
                          <w:lang w:val="nl-NL"/>
                        </w:rPr>
                        <w:t xml:space="preserve"> </w:t>
                      </w:r>
                      <w:r w:rsidRPr="002A3DD5">
                        <w:rPr>
                          <w:rFonts w:asciiTheme="minorHAnsi" w:hAnsiTheme="minorHAnsi" w:cstheme="minorHAnsi"/>
                          <w:i/>
                          <w:sz w:val="22"/>
                          <w:szCs w:val="22"/>
                          <w:lang w:val="nl-NL"/>
                        </w:rPr>
                        <w:t>Standaarden</w:t>
                      </w:r>
                      <w:r w:rsidRPr="002A3DD5">
                        <w:rPr>
                          <w:rFonts w:asciiTheme="minorHAnsi" w:hAnsiTheme="minorHAnsi" w:cstheme="minorHAnsi"/>
                          <w:sz w:val="22"/>
                          <w:szCs w:val="22"/>
                          <w:lang w:val="nl-NL"/>
                        </w:rPr>
                        <w:t xml:space="preserve"> die per 1 januari 2017 van kracht zijn</w:t>
                      </w:r>
                    </w:p>
                  </w:txbxContent>
                </v:textbox>
                <w10:wrap type="square" anchorx="margin" anchory="margin"/>
              </v:shape>
            </w:pict>
          </mc:Fallback>
        </mc:AlternateContent>
      </w:r>
      <w:r w:rsidR="00685768" w:rsidRPr="002A3DD5">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7B02E8">
                              <w:rPr>
                                <w:color w:val="FFFFFF" w:themeColor="background1"/>
                                <w:sz w:val="50"/>
                                <w:szCs w:val="50"/>
                                <w:lang w:val="nl-NL"/>
                                <w14:textOutline w14:w="9525" w14:cap="flat" w14:cmpd="sng" w14:algn="ctr">
                                  <w14:noFill/>
                                  <w14:prstDash w14:val="solid"/>
                                  <w14:round/>
                                </w14:textOutline>
                              </w:rPr>
                              <w:t>41</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7B02E8">
                        <w:rPr>
                          <w:color w:val="FFFFFF" w:themeColor="background1"/>
                          <w:sz w:val="50"/>
                          <w:szCs w:val="50"/>
                          <w:lang w:val="nl-NL"/>
                          <w14:textOutline w14:w="9525" w14:cap="flat" w14:cmpd="sng" w14:algn="ctr">
                            <w14:noFill/>
                            <w14:prstDash w14:val="solid"/>
                            <w14:round/>
                          </w14:textOutline>
                        </w:rPr>
                        <w:t>41</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2A3DD5" w:rsidRDefault="00685768" w:rsidP="002F57B5">
      <w:pPr>
        <w:pStyle w:val="TemplateHeadline"/>
        <w:rPr>
          <w:rFonts w:asciiTheme="minorHAnsi" w:hAnsiTheme="minorHAnsi" w:cstheme="minorHAnsi"/>
        </w:rPr>
      </w:pPr>
      <w:r w:rsidRPr="002A3DD5">
        <w:rPr>
          <w:rFonts w:asciiTheme="minorHAnsi" w:hAnsiTheme="minorHAnsi" w:cstheme="minorHAnsi"/>
          <w:lang w:val="nl-NL"/>
        </w:rPr>
        <w:lastRenderedPageBreak/>
        <w:t xml:space="preserve">Inleiding </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Opdrachtcommunicatie is een essentieel onderdeel van de wijze waarop een internal auditfunctie waarde aantoont. Het format en de inhoud van dergelijke communicatie kan per organisatie of soort opdracht verschillen.</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Communicatie aan stakeholders vereist een zorgvuldige planning. Het is nuttig om een ​​plan te ontwikkelen voor de communicatie over de opdracht, en, indien mogelijk, het plan van tevoren te bespreken en overeen te komen met stakeholders. </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Om ervoor te zorgen dat voldaan wordt aan de communicatiecriteria dient de internal auditfunctie zich bewust te zijn van Standaard 2200 – Planning van de opdracht, Standaard 2210 – Doelstellingen van de opdracht, Standaard 2220 – Reikwijdte van de opdracht, Standaard 2300 – Uitvoering van de opdracht, Standaard 2310 – Identificatie van informatie, Standaard 2320 – Analyse en evaluatie, Standaard 2330 – Documenteren van de informatie, </w:t>
      </w:r>
      <w:proofErr w:type="spellStart"/>
      <w:r w:rsidRPr="002A3DD5">
        <w:rPr>
          <w:rFonts w:asciiTheme="minorHAnsi" w:hAnsiTheme="minorHAnsi" w:cstheme="minorHAnsi"/>
          <w:sz w:val="22"/>
          <w:szCs w:val="22"/>
          <w:lang w:val="nl-NL"/>
        </w:rPr>
        <w:t>and</w:t>
      </w:r>
      <w:proofErr w:type="spellEnd"/>
      <w:r w:rsidRPr="002A3DD5">
        <w:rPr>
          <w:rFonts w:asciiTheme="minorHAnsi" w:hAnsiTheme="minorHAnsi" w:cstheme="minorHAnsi"/>
          <w:sz w:val="22"/>
          <w:szCs w:val="22"/>
          <w:lang w:val="nl-NL"/>
        </w:rPr>
        <w:t xml:space="preserve"> Standaard 2340 – Toezicht op de opdracht. De reikwijdte en de doelstellingen van de opdracht worden doorgaans meegedeeld:</w:t>
      </w:r>
    </w:p>
    <w:p w:rsidR="00CF3455" w:rsidRPr="002A3DD5" w:rsidRDefault="00CF3455" w:rsidP="00CF3455">
      <w:pPr>
        <w:pStyle w:val="RedBullets"/>
        <w:rPr>
          <w:rFonts w:asciiTheme="minorHAnsi" w:hAnsiTheme="minorHAnsi" w:cstheme="minorHAnsi"/>
          <w:sz w:val="22"/>
          <w:szCs w:val="22"/>
        </w:rPr>
      </w:pPr>
      <w:proofErr w:type="spellStart"/>
      <w:r w:rsidRPr="002A3DD5">
        <w:rPr>
          <w:rFonts w:asciiTheme="minorHAnsi" w:hAnsiTheme="minorHAnsi" w:cstheme="minorHAnsi"/>
          <w:sz w:val="22"/>
          <w:szCs w:val="22"/>
        </w:rPr>
        <w:t>Tijdens</w:t>
      </w:r>
      <w:proofErr w:type="spellEnd"/>
      <w:r w:rsidRPr="002A3DD5">
        <w:rPr>
          <w:rFonts w:asciiTheme="minorHAnsi" w:hAnsiTheme="minorHAnsi" w:cstheme="minorHAnsi"/>
          <w:sz w:val="22"/>
          <w:szCs w:val="22"/>
        </w:rPr>
        <w:t xml:space="preserve"> het </w:t>
      </w:r>
      <w:proofErr w:type="spellStart"/>
      <w:r w:rsidRPr="002A3DD5">
        <w:rPr>
          <w:rFonts w:asciiTheme="minorHAnsi" w:hAnsiTheme="minorHAnsi" w:cstheme="minorHAnsi"/>
          <w:sz w:val="22"/>
          <w:szCs w:val="22"/>
        </w:rPr>
        <w:t>plannen</w:t>
      </w:r>
      <w:proofErr w:type="spellEnd"/>
      <w:r w:rsidRPr="002A3DD5">
        <w:rPr>
          <w:rFonts w:asciiTheme="minorHAnsi" w:hAnsiTheme="minorHAnsi" w:cstheme="minorHAnsi"/>
          <w:sz w:val="22"/>
          <w:szCs w:val="22"/>
        </w:rPr>
        <w:t xml:space="preserve"> van de </w:t>
      </w:r>
      <w:proofErr w:type="spellStart"/>
      <w:r w:rsidRPr="002A3DD5">
        <w:rPr>
          <w:rFonts w:asciiTheme="minorHAnsi" w:hAnsiTheme="minorHAnsi" w:cstheme="minorHAnsi"/>
          <w:sz w:val="22"/>
          <w:szCs w:val="22"/>
        </w:rPr>
        <w:t>opdracht</w:t>
      </w:r>
      <w:proofErr w:type="spellEnd"/>
      <w:r w:rsidRPr="002A3DD5">
        <w:rPr>
          <w:rFonts w:asciiTheme="minorHAnsi" w:hAnsiTheme="minorHAnsi" w:cstheme="minorHAnsi"/>
          <w:sz w:val="22"/>
          <w:szCs w:val="22"/>
        </w:rPr>
        <w:t>.</w:t>
      </w:r>
    </w:p>
    <w:p w:rsidR="00CF3455" w:rsidRPr="002A3DD5" w:rsidRDefault="00CF3455" w:rsidP="00CF3455">
      <w:pPr>
        <w:pStyle w:val="RedBullets"/>
        <w:rPr>
          <w:rFonts w:asciiTheme="minorHAnsi" w:hAnsiTheme="minorHAnsi" w:cstheme="minorHAnsi"/>
          <w:sz w:val="22"/>
          <w:szCs w:val="22"/>
        </w:rPr>
      </w:pPr>
      <w:proofErr w:type="spellStart"/>
      <w:r w:rsidRPr="002A3DD5">
        <w:rPr>
          <w:rFonts w:asciiTheme="minorHAnsi" w:hAnsiTheme="minorHAnsi" w:cstheme="minorHAnsi"/>
          <w:sz w:val="22"/>
          <w:szCs w:val="22"/>
        </w:rPr>
        <w:t>Tijdens</w:t>
      </w:r>
      <w:proofErr w:type="spellEnd"/>
      <w:r w:rsidRPr="002A3DD5">
        <w:rPr>
          <w:rFonts w:asciiTheme="minorHAnsi" w:hAnsiTheme="minorHAnsi" w:cstheme="minorHAnsi"/>
          <w:sz w:val="22"/>
          <w:szCs w:val="22"/>
        </w:rPr>
        <w:t xml:space="preserve"> de </w:t>
      </w:r>
      <w:proofErr w:type="spellStart"/>
      <w:r w:rsidRPr="002A3DD5">
        <w:rPr>
          <w:rFonts w:asciiTheme="minorHAnsi" w:hAnsiTheme="minorHAnsi" w:cstheme="minorHAnsi"/>
          <w:sz w:val="22"/>
          <w:szCs w:val="22"/>
        </w:rPr>
        <w:t>opdracht</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als</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er</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afwijkingen</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zijn</w:t>
      </w:r>
      <w:proofErr w:type="spellEnd"/>
      <w:r w:rsidRPr="002A3DD5">
        <w:rPr>
          <w:rFonts w:asciiTheme="minorHAnsi" w:hAnsiTheme="minorHAnsi" w:cstheme="minorHAnsi"/>
          <w:sz w:val="22"/>
          <w:szCs w:val="22"/>
        </w:rPr>
        <w:t xml:space="preserve"> van de </w:t>
      </w:r>
      <w:proofErr w:type="spellStart"/>
      <w:r w:rsidRPr="002A3DD5">
        <w:rPr>
          <w:rFonts w:asciiTheme="minorHAnsi" w:hAnsiTheme="minorHAnsi" w:cstheme="minorHAnsi"/>
          <w:sz w:val="22"/>
          <w:szCs w:val="22"/>
        </w:rPr>
        <w:t>geplande</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reikwijdte</w:t>
      </w:r>
      <w:proofErr w:type="spellEnd"/>
      <w:r w:rsidRPr="002A3DD5">
        <w:rPr>
          <w:rFonts w:asciiTheme="minorHAnsi" w:hAnsiTheme="minorHAnsi" w:cstheme="minorHAnsi"/>
          <w:sz w:val="22"/>
          <w:szCs w:val="22"/>
        </w:rPr>
        <w:t xml:space="preserve"> en </w:t>
      </w:r>
      <w:proofErr w:type="spellStart"/>
      <w:r w:rsidRPr="002A3DD5">
        <w:rPr>
          <w:rFonts w:asciiTheme="minorHAnsi" w:hAnsiTheme="minorHAnsi" w:cstheme="minorHAnsi"/>
          <w:sz w:val="22"/>
          <w:szCs w:val="22"/>
        </w:rPr>
        <w:t>doelstellingen</w:t>
      </w:r>
      <w:proofErr w:type="spellEnd"/>
      <w:r w:rsidRPr="002A3DD5">
        <w:rPr>
          <w:rFonts w:asciiTheme="minorHAnsi" w:hAnsiTheme="minorHAnsi" w:cstheme="minorHAnsi"/>
          <w:sz w:val="22"/>
          <w:szCs w:val="22"/>
        </w:rPr>
        <w:t>.</w:t>
      </w:r>
    </w:p>
    <w:p w:rsidR="00CF3455" w:rsidRPr="002A3DD5" w:rsidRDefault="00CF3455" w:rsidP="00CF3455">
      <w:pPr>
        <w:pStyle w:val="RedBullets"/>
        <w:rPr>
          <w:rFonts w:asciiTheme="minorHAnsi" w:hAnsiTheme="minorHAnsi" w:cstheme="minorHAnsi"/>
          <w:sz w:val="22"/>
          <w:szCs w:val="22"/>
        </w:rPr>
      </w:pPr>
      <w:r w:rsidRPr="002A3DD5">
        <w:rPr>
          <w:rFonts w:asciiTheme="minorHAnsi" w:hAnsiTheme="minorHAnsi" w:cstheme="minorHAnsi"/>
          <w:sz w:val="22"/>
          <w:szCs w:val="22"/>
        </w:rPr>
        <w:t xml:space="preserve">In de </w:t>
      </w:r>
      <w:proofErr w:type="spellStart"/>
      <w:r w:rsidRPr="002A3DD5">
        <w:rPr>
          <w:rFonts w:asciiTheme="minorHAnsi" w:hAnsiTheme="minorHAnsi" w:cstheme="minorHAnsi"/>
          <w:sz w:val="22"/>
          <w:szCs w:val="22"/>
        </w:rPr>
        <w:t>definitieve</w:t>
      </w:r>
      <w:proofErr w:type="spellEnd"/>
      <w:r w:rsidRPr="002A3DD5">
        <w:rPr>
          <w:rFonts w:asciiTheme="minorHAnsi" w:hAnsiTheme="minorHAnsi" w:cstheme="minorHAnsi"/>
          <w:sz w:val="22"/>
          <w:szCs w:val="22"/>
        </w:rPr>
        <w:t xml:space="preserve"> </w:t>
      </w:r>
      <w:proofErr w:type="spellStart"/>
      <w:r w:rsidRPr="002A3DD5">
        <w:rPr>
          <w:rFonts w:asciiTheme="minorHAnsi" w:hAnsiTheme="minorHAnsi" w:cstheme="minorHAnsi"/>
          <w:sz w:val="22"/>
          <w:szCs w:val="22"/>
        </w:rPr>
        <w:t>opdrachtcommunicatie</w:t>
      </w:r>
      <w:proofErr w:type="spellEnd"/>
      <w:r w:rsidRPr="002A3DD5">
        <w:rPr>
          <w:rFonts w:asciiTheme="minorHAnsi" w:hAnsiTheme="minorHAnsi" w:cstheme="minorHAnsi"/>
          <w:sz w:val="22"/>
          <w:szCs w:val="22"/>
        </w:rPr>
        <w:t>.</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Voldoende toezicht waarborgt dat de reikwijdte en de doelstellingen van de opdracht worden bereikt en er passende beheersmaatregelen zijn in verband met de kwalitatieve communicatie van de resultaten. </w:t>
      </w:r>
    </w:p>
    <w:p w:rsidR="002F57B5" w:rsidRPr="002A3DD5" w:rsidRDefault="002F57B5" w:rsidP="002F57B5">
      <w:pPr>
        <w:pStyle w:val="TemplateHeadline"/>
        <w:rPr>
          <w:rFonts w:asciiTheme="minorHAnsi" w:hAnsiTheme="minorHAnsi" w:cstheme="minorHAnsi"/>
          <w:color w:val="000000"/>
          <w:sz w:val="22"/>
          <w:szCs w:val="22"/>
        </w:rPr>
      </w:pPr>
    </w:p>
    <w:p w:rsidR="002F57B5" w:rsidRPr="002A3DD5" w:rsidRDefault="00685768" w:rsidP="002F57B5">
      <w:pPr>
        <w:pStyle w:val="TemplateHeadline"/>
        <w:rPr>
          <w:rFonts w:asciiTheme="minorHAnsi" w:hAnsiTheme="minorHAnsi" w:cstheme="minorHAnsi"/>
        </w:rPr>
      </w:pPr>
      <w:r w:rsidRPr="002A3DD5">
        <w:rPr>
          <w:rFonts w:asciiTheme="minorHAnsi" w:hAnsiTheme="minorHAnsi" w:cstheme="minorHAnsi"/>
          <w:lang w:val="nl-NL"/>
        </w:rPr>
        <w:t xml:space="preserve">Overwegingen bij de implementatie </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Het is belangrijk om het communicatieplan voor een opdracht bij of voor de aanvang van de opdracht in beschouwing te nemen. Het plan behandelt doorgaans waarom, wat, aan wie en hoe internal auditors zullen communiceren. Bijvoorbeeld, internal auditors zullen de doelstellingen, reikwijdte, tussentijdse resultaten en uiteindelijke resultaten van de opdracht communiceren. Het plan kan ook het format van de communicatie specificeren. (Het beslissingsproces over wat er wel en niet formeel moet worden gerapporteerd, wordt gedocumenteerd in de werkdocumenten van de opdracht.) Voordat enig veldwerk voor de opdracht wordt verricht, wordt het communicatieplan doorgaans besproken met relevante </w:t>
      </w:r>
      <w:r w:rsidRPr="002A3DD5">
        <w:rPr>
          <w:rFonts w:asciiTheme="minorHAnsi" w:hAnsiTheme="minorHAnsi" w:cstheme="minorHAnsi"/>
          <w:sz w:val="22"/>
          <w:szCs w:val="22"/>
          <w:lang w:val="nl-NL"/>
        </w:rPr>
        <w:lastRenderedPageBreak/>
        <w:t>stakeholders, zoals degenen die verantwoordelijk zijn voor het onderzochte gebied. Het plan kan periodiek worden bijgewerkt als de omstandigheden daar aanleiding toe geven.</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Bij de planning van de definitieve opdrachtcommunicatie zullen internal auditors alle initiële besprekingen en tussentijdse mededelingen die ze mogelijk hebben gehad met het management van het onderzochte gebied in overweging nemen. Ze zullen zorgvuldig alle relevante werkdocumenten en samenvattingen van werkdocumenten nauwkeurig beoordelen en verschillende aanvullende factoren overwegen, waaronder:</w:t>
      </w:r>
    </w:p>
    <w:p w:rsidR="00CF3455" w:rsidRPr="002A3DD5" w:rsidRDefault="00CF3455" w:rsidP="00CF3455">
      <w:pPr>
        <w:pStyle w:val="RedBullets"/>
        <w:tabs>
          <w:tab w:val="left" w:pos="4320"/>
        </w:tabs>
        <w:suppressAutoHyphens w:val="0"/>
        <w:spacing w:after="180" w:line="360" w:lineRule="atLeast"/>
        <w:contextualSpacing/>
        <w:rPr>
          <w:rFonts w:asciiTheme="minorHAnsi" w:hAnsiTheme="minorHAnsi" w:cstheme="minorHAnsi"/>
          <w:sz w:val="22"/>
          <w:szCs w:val="22"/>
        </w:rPr>
      </w:pPr>
      <w:r w:rsidRPr="002A3DD5">
        <w:rPr>
          <w:rFonts w:asciiTheme="minorHAnsi" w:hAnsiTheme="minorHAnsi" w:cstheme="minorHAnsi"/>
          <w:sz w:val="22"/>
          <w:szCs w:val="22"/>
          <w:lang w:val="nl-NL"/>
        </w:rPr>
        <w:t>Verwachtingen van stakeholders.</w:t>
      </w:r>
    </w:p>
    <w:p w:rsidR="00CF3455" w:rsidRPr="002A3DD5" w:rsidRDefault="00CF3455" w:rsidP="00CF3455">
      <w:pPr>
        <w:pStyle w:val="RedBullets"/>
        <w:tabs>
          <w:tab w:val="left" w:pos="4320"/>
        </w:tabs>
        <w:suppressAutoHyphens w:val="0"/>
        <w:spacing w:after="180" w:line="360" w:lineRule="atLeast"/>
        <w:contextualSpacing/>
        <w:rPr>
          <w:rFonts w:asciiTheme="minorHAnsi" w:hAnsiTheme="minorHAnsi" w:cstheme="minorHAnsi"/>
          <w:sz w:val="22"/>
          <w:szCs w:val="22"/>
        </w:rPr>
      </w:pPr>
      <w:r w:rsidRPr="002A3DD5">
        <w:rPr>
          <w:rFonts w:asciiTheme="minorHAnsi" w:hAnsiTheme="minorHAnsi" w:cstheme="minorHAnsi"/>
          <w:sz w:val="22"/>
          <w:szCs w:val="22"/>
          <w:lang w:val="nl-NL"/>
        </w:rPr>
        <w:t>Doelstellingen van de opdracht.</w:t>
      </w:r>
    </w:p>
    <w:p w:rsidR="00CF3455" w:rsidRPr="002A3DD5" w:rsidRDefault="00CF3455" w:rsidP="00CF345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Strategische doelen van het onderzochte gebied. </w:t>
      </w:r>
    </w:p>
    <w:p w:rsidR="00CF3455" w:rsidRPr="002A3DD5" w:rsidRDefault="00CF3455" w:rsidP="00CF3455">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Reikwijdte van de opdracht en eventuele beperkingen aan de reikwijdte. </w:t>
      </w:r>
    </w:p>
    <w:p w:rsidR="00CF3455" w:rsidRPr="002A3DD5" w:rsidRDefault="00CF3455" w:rsidP="00CF3455">
      <w:pPr>
        <w:pStyle w:val="RedBullets"/>
        <w:tabs>
          <w:tab w:val="left" w:pos="4320"/>
        </w:tabs>
        <w:suppressAutoHyphens w:val="0"/>
        <w:spacing w:after="180" w:line="360" w:lineRule="atLeast"/>
        <w:contextualSpacing/>
        <w:rPr>
          <w:rFonts w:asciiTheme="minorHAnsi" w:hAnsiTheme="minorHAnsi" w:cstheme="minorHAnsi"/>
          <w:sz w:val="22"/>
          <w:szCs w:val="22"/>
        </w:rPr>
      </w:pPr>
      <w:r w:rsidRPr="002A3DD5">
        <w:rPr>
          <w:rFonts w:asciiTheme="minorHAnsi" w:hAnsiTheme="minorHAnsi" w:cstheme="minorHAnsi"/>
          <w:sz w:val="22"/>
          <w:szCs w:val="22"/>
          <w:lang w:val="nl-NL"/>
        </w:rPr>
        <w:t>Opdrachtresultaten.</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Internal auditors dienen ook de vereiste van Standaard 2410.A1 te overwegen om in de definitieve opdrachtcommunicatie de toepasselijke conclusies op te nemen, evenals de toepasselijke aanbevelingen en/of actieplannen. Opinies op opdrachtniveau kunnen een beoordeling, conclusie of andere omschrijving van de resultaten bevatten, evenals uitspraken over het belang ervan, zoals verder uitgelegd in de Interpretatie van Standaard 2410.A1.</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Communicatie met het management is een doorlopend proces tijdens de opdracht. De internal auditfunctie biedt meerwaarde door communicatie (zowel mondeling als schriftelijk) te ontwikkelen die positieve veranderingen in de organisatie teweegbrengen. Bij het communiceren van opdrachtresultaten worden internal auditors aangemoedigd om een goed functioneren te erkennen en eventuele verklaringen met betrekking tot distributiebeperkingen en/of gebruik van de resultaten op te nemen, zoals gecommuniceerd in Standaard 2410.A2 en Standaard 2410.A3.</w:t>
      </w:r>
    </w:p>
    <w:p w:rsidR="002F57B5" w:rsidRPr="002A3DD5" w:rsidRDefault="002F57B5" w:rsidP="002F57B5">
      <w:pPr>
        <w:pStyle w:val="TemplateHeadline"/>
        <w:rPr>
          <w:rFonts w:asciiTheme="minorHAnsi" w:hAnsiTheme="minorHAnsi" w:cstheme="minorHAnsi"/>
          <w:color w:val="000000"/>
          <w:sz w:val="22"/>
          <w:szCs w:val="22"/>
        </w:rPr>
      </w:pPr>
    </w:p>
    <w:p w:rsidR="00FE4706" w:rsidRPr="002A3DD5" w:rsidRDefault="00685768" w:rsidP="002F57B5">
      <w:pPr>
        <w:pStyle w:val="TemplateHeadline"/>
        <w:rPr>
          <w:rFonts w:asciiTheme="minorHAnsi" w:hAnsiTheme="minorHAnsi" w:cstheme="minorHAnsi"/>
          <w:lang w:val="nl-NL"/>
        </w:rPr>
      </w:pPr>
      <w:r w:rsidRPr="002A3DD5">
        <w:rPr>
          <w:rFonts w:asciiTheme="minorHAnsi" w:hAnsiTheme="minorHAnsi" w:cstheme="minorHAnsi"/>
          <w:lang w:val="nl-NL"/>
        </w:rPr>
        <w:t>Overwegingen b</w:t>
      </w:r>
      <w:r w:rsidR="002F57B5" w:rsidRPr="002A3DD5">
        <w:rPr>
          <w:rFonts w:asciiTheme="minorHAnsi" w:hAnsiTheme="minorHAnsi" w:cstheme="minorHAnsi"/>
          <w:lang w:val="nl-NL"/>
        </w:rPr>
        <w:t>ij het aantonen van de naleving</w:t>
      </w:r>
    </w:p>
    <w:p w:rsidR="00CF3455" w:rsidRPr="002A3DD5"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 xml:space="preserve">Materialen die naleving van Standaard 2410 kunnen aantonen, omvatten schriftelijke beleidsregels en procedures van de internal auditfunctie die betrekking hebben op de consistentie van de format van het opdrachtrapport en alle materialen — zoals dossiers, interne memo's of e-mailcorrespondentie — </w:t>
      </w:r>
      <w:r w:rsidRPr="002A3DD5">
        <w:rPr>
          <w:rFonts w:asciiTheme="minorHAnsi" w:hAnsiTheme="minorHAnsi" w:cstheme="minorHAnsi"/>
          <w:sz w:val="22"/>
          <w:szCs w:val="22"/>
          <w:lang w:val="nl-NL"/>
        </w:rPr>
        <w:lastRenderedPageBreak/>
        <w:t>waaruit blijkt hoe het definitieve communicatieplan is ontwikkeld. Naleving kan worden aangetoond door naleving van het communicatieplan of door een schriftelijk rapport (en de betreffende inhoud), werkdocumenten en /of notulen van vergaderingen waar kwesties en resultaten zijn besproken.</w:t>
      </w:r>
    </w:p>
    <w:p w:rsidR="00FE4706" w:rsidRDefault="00CF3455" w:rsidP="00CF3455">
      <w:pPr>
        <w:pStyle w:val="TemplateBodyText"/>
        <w:rPr>
          <w:rFonts w:asciiTheme="minorHAnsi" w:hAnsiTheme="minorHAnsi" w:cstheme="minorHAnsi"/>
          <w:sz w:val="22"/>
          <w:szCs w:val="22"/>
          <w:lang w:val="nl-NL"/>
        </w:rPr>
      </w:pPr>
      <w:r w:rsidRPr="002A3DD5">
        <w:rPr>
          <w:rFonts w:asciiTheme="minorHAnsi" w:hAnsiTheme="minorHAnsi" w:cstheme="minorHAnsi"/>
          <w:sz w:val="22"/>
          <w:szCs w:val="22"/>
          <w:lang w:val="nl-NL"/>
        </w:rPr>
        <w:t>Een opdrachtbrief of het rapport van de internal auditfunctie over de initiële klantbijeenkomsten kan naleving aantonen, aangezien hierin meestal het werkprogramma, de doelstellingen en de reikwijdte van de opdracht worden samengevat, evenals de overeengekomen parameters van de definitieve communicatie. Een eindrapport dat de doelstellingen, reikwijdte en resultaten van de opdracht bevat, alsmede de toepasselijke conclusies met aanbevelingen en/of actieplannen, kunnen ook naleving aantonen. Het eindrapport kan goed functioneren bevestigen evenals beperkingen in verband met de communicatie of het gebruik van resultaten aan partijen buiten de organisatie.</w:t>
      </w:r>
    </w:p>
    <w:p w:rsidR="002A3DD5" w:rsidRPr="002A3DD5" w:rsidRDefault="002A3DD5" w:rsidP="00CF3455">
      <w:pPr>
        <w:pStyle w:val="TemplateBodyText"/>
        <w:rPr>
          <w:rFonts w:asciiTheme="minorHAnsi" w:hAnsiTheme="minorHAnsi" w:cstheme="minorHAnsi"/>
          <w:sz w:val="22"/>
          <w:szCs w:val="22"/>
          <w:lang w:val="nl-NL"/>
        </w:rPr>
      </w:pPr>
    </w:p>
    <w:p w:rsidR="002F57B5" w:rsidRPr="002A3DD5" w:rsidRDefault="00685768" w:rsidP="002F57B5">
      <w:pPr>
        <w:pStyle w:val="TemplateHeadline"/>
        <w:rPr>
          <w:rFonts w:asciiTheme="minorHAnsi" w:hAnsiTheme="minorHAnsi" w:cstheme="minorHAnsi"/>
          <w:lang w:val="nl-NL"/>
        </w:rPr>
      </w:pPr>
      <w:r w:rsidRPr="002A3DD5">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7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BS4EWR3wAA&#10;AAoBAAAPAAAAZHJzL2Rvd25yZXYueG1sTI9BT8MwDIXvSPyHyEjcWLKJlqk0ndAAiQMXBhLXtDFN&#10;R+NUTbYWfj3eid1sv6fn75Wb2ffiiGPsAmlYLhQIpCbYjloNH+/PN2sQMRmypg+EGn4wwqa6vChN&#10;YcNEb3jcpVZwCMXCaHApDYWUsXHoTVyEAYm1rzB6k3gdW2lHM3G47+VKqVx60xF/cGbArcPme3fw&#10;GrLuZer2n/Epa72z9fb1d5Ue91pfX80P9yASzunfDCd8RoeKmepwIBtFr4GLJA25ustAnGSl1nyq&#10;ebpd5gpkVcrzCtUfAAAA//8DAFBLAQItABQABgAIAAAAIQC2gziS/gAAAOEBAAATAAAAAAAAAAAA&#10;AAAAAAAAAABbQ29udGVudF9UeXBlc10ueG1sUEsBAi0AFAAGAAgAAAAhADj9If/WAAAAlAEAAAsA&#10;AAAAAAAAAAAAAAAALwEAAF9yZWxzLy5yZWxzUEsBAi0AFAAGAAgAAAAhAFoVc2CwAgAALQUAAA4A&#10;AAAAAAAAAAAAAAAALgIAAGRycy9lMm9Eb2MueG1sUEsBAi0AFAAGAAgAAAAhAFLgRZH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2A3DD5">
        <w:rPr>
          <w:rFonts w:asciiTheme="minorHAnsi" w:hAnsiTheme="minorHAnsi" w:cstheme="minorHAnsi"/>
          <w:color w:val="000000"/>
          <w:sz w:val="24"/>
          <w:szCs w:val="24"/>
          <w:lang w:val="nl-NL"/>
        </w:rPr>
        <w:t xml:space="preserve"> </w:t>
      </w:r>
    </w:p>
    <w:sectPr w:rsidR="002F57B5" w:rsidRPr="002A3DD5"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2A3DD5">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2A3DD5">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2A3DD5">
                            <w:rPr>
                              <w:rFonts w:ascii="Arial" w:hAnsi="Arial" w:cs="Arial"/>
                              <w:color w:val="0F1F4B"/>
                              <w:lang w:val="nl-NL"/>
                            </w:rPr>
                            <w:t>2410 -</w:t>
                          </w:r>
                          <w:r w:rsidR="007B02E8" w:rsidRPr="007B02E8">
                            <w:rPr>
                              <w:rFonts w:ascii="Arial" w:hAnsi="Arial" w:cs="Arial"/>
                              <w:color w:val="0F1F4B"/>
                              <w:lang w:val="nl-NL"/>
                            </w:rPr>
                            <w:t xml:space="preserve"> Criteria voor de communicatie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2A3DD5">
                      <w:rPr>
                        <w:rFonts w:ascii="Arial" w:hAnsi="Arial" w:cs="Arial"/>
                        <w:color w:val="0F1F4B"/>
                        <w:lang w:val="nl-NL"/>
                      </w:rPr>
                      <w:t>2410 -</w:t>
                    </w:r>
                    <w:r w:rsidR="007B02E8" w:rsidRPr="007B02E8">
                      <w:rPr>
                        <w:rFonts w:ascii="Arial" w:hAnsi="Arial" w:cs="Arial"/>
                        <w:color w:val="0F1F4B"/>
                        <w:lang w:val="nl-NL"/>
                      </w:rPr>
                      <w:t xml:space="preserve"> Criteria voor de communicatie</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A3DD5"/>
    <w:rsid w:val="002F57B5"/>
    <w:rsid w:val="00331704"/>
    <w:rsid w:val="005C501B"/>
    <w:rsid w:val="00685768"/>
    <w:rsid w:val="007B02E8"/>
    <w:rsid w:val="00963DFA"/>
    <w:rsid w:val="009C730B"/>
    <w:rsid w:val="00B9149D"/>
    <w:rsid w:val="00C6368B"/>
    <w:rsid w:val="00CF3455"/>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CF3455"/>
    <w:pPr>
      <w:numPr>
        <w:numId w:val="3"/>
      </w:numPr>
    </w:pPr>
    <w:rPr>
      <w:rFonts w:ascii="Times New Roman" w:hAnsi="Times New Roman"/>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CF3455"/>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600D55-4900-4271-8B8C-3181891C732E}">
  <ds:schemaRefs>
    <ds:schemaRef ds:uri="http://schemas.openxmlformats.org/officeDocument/2006/bibliography"/>
  </ds:schemaRefs>
</ds:datastoreItem>
</file>

<file path=customXml/itemProps2.xml><?xml version="1.0" encoding="utf-8"?>
<ds:datastoreItem xmlns:ds="http://schemas.openxmlformats.org/officeDocument/2006/customXml" ds:itemID="{AB07249D-22E5-46F1-9189-813B9F2B0A75}"/>
</file>

<file path=customXml/itemProps3.xml><?xml version="1.0" encoding="utf-8"?>
<ds:datastoreItem xmlns:ds="http://schemas.openxmlformats.org/officeDocument/2006/customXml" ds:itemID="{3A952710-8A0B-4B35-8048-3D9EC635255C}"/>
</file>

<file path=customXml/itemProps4.xml><?xml version="1.0" encoding="utf-8"?>
<ds:datastoreItem xmlns:ds="http://schemas.openxmlformats.org/officeDocument/2006/customXml" ds:itemID="{0E25B3C8-E751-4118-ACD0-95F14DAD090E}"/>
</file>

<file path=docProps/app.xml><?xml version="1.0" encoding="utf-8"?>
<Properties xmlns="http://schemas.openxmlformats.org/officeDocument/2006/extended-properties" xmlns:vt="http://schemas.openxmlformats.org/officeDocument/2006/docPropsVTypes">
  <Template>F2EF5BA5</Template>
  <TotalTime>5</TotalTime>
  <Pages>5</Pages>
  <Words>799</Words>
  <Characters>4396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2017-08-21T11:25:00Z</dcterms:created>
  <dcterms:modified xsi:type="dcterms:W3CDTF">2017-08-21T14:07:00Z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