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F50E40" w:rsidRDefault="00C6368B" w:rsidP="002F57B5">
      <w:pPr>
        <w:pStyle w:val="TemplateHeadline"/>
        <w:rPr>
          <w:rFonts w:asciiTheme="minorHAnsi" w:hAnsiTheme="minorHAnsi" w:cstheme="minorHAnsi"/>
        </w:rPr>
      </w:pPr>
      <w:r w:rsidRPr="00F50E40">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left</wp:align>
                </wp:positionH>
                <wp:positionV relativeFrom="margin">
                  <wp:posOffset>1532890</wp:posOffset>
                </wp:positionV>
                <wp:extent cx="6410325" cy="3305175"/>
                <wp:effectExtent l="0" t="0" r="9525" b="9525"/>
                <wp:wrapSquare wrapText="bothSides"/>
                <wp:docPr id="5" name="Text Box 5"/>
                <wp:cNvGraphicFramePr/>
                <a:graphic xmlns:a="http://schemas.openxmlformats.org/drawingml/2006/main">
                  <a:graphicData uri="http://schemas.microsoft.com/office/word/2010/wordprocessingShape">
                    <wps:wsp>
                      <wps:cNvSpPr txBox="1"/>
                      <wps:spPr>
                        <a:xfrm>
                          <a:off x="0" y="0"/>
                          <a:ext cx="6410325" cy="33051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F20B90" w:rsidRPr="00F20B90">
                              <w:rPr>
                                <w:rFonts w:asciiTheme="majorHAnsi" w:hAnsiTheme="majorHAnsi" w:cstheme="majorHAnsi"/>
                                <w:lang w:val="nl-NL"/>
                              </w:rPr>
                              <w:t>2310 – Identificatie van de informatie</w:t>
                            </w:r>
                          </w:p>
                          <w:p w:rsidR="00E269AE" w:rsidRPr="00E269AE" w:rsidRDefault="00C3762C" w:rsidP="00E269AE">
                            <w:pPr>
                              <w:autoSpaceDE w:val="0"/>
                              <w:autoSpaceDN w:val="0"/>
                              <w:adjustRightInd w:val="0"/>
                              <w:spacing w:before="100" w:beforeAutospacing="1" w:after="100" w:afterAutospacing="1"/>
                              <w:jc w:val="both"/>
                              <w:rPr>
                                <w:rFonts w:ascii="Arial" w:hAnsi="Arial" w:cs="Arial"/>
                                <w:color w:val="000000"/>
                                <w:sz w:val="22"/>
                                <w:szCs w:val="22"/>
                              </w:rPr>
                            </w:pPr>
                            <w:r w:rsidRPr="00C3762C">
                              <w:rPr>
                                <w:rFonts w:ascii="Arial" w:hAnsi="Arial" w:cs="Arial"/>
                                <w:color w:val="000000"/>
                                <w:sz w:val="22"/>
                                <w:szCs w:val="22"/>
                                <w:lang w:val="nl-NL"/>
                              </w:rPr>
                              <w:t>Internal auditors moeten voldoende, betrouwbare, relevante en nuttige informatie verkrijgen om de doelstellingen van de opdracht te realiseren.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E269AE" w:rsidRDefault="00C3762C" w:rsidP="00963DFA">
                            <w:pPr>
                              <w:spacing w:before="100" w:beforeAutospacing="1" w:after="100" w:afterAutospacing="1"/>
                              <w:rPr>
                                <w:i/>
                                <w:color w:val="000000"/>
                              </w:rPr>
                            </w:pPr>
                            <w:r w:rsidRPr="00C3762C">
                              <w:rPr>
                                <w:rFonts w:ascii="Arial" w:hAnsi="Arial" w:cs="Arial"/>
                                <w:i/>
                                <w:iCs/>
                                <w:color w:val="000000"/>
                                <w:sz w:val="22"/>
                                <w:szCs w:val="22"/>
                                <w:lang w:val="nl-NL"/>
                              </w:rPr>
                              <w:t>Voldoende informatie is feitelijk, adequaat en overtuigend, zodat een verstandig, zorgvuldig handelend en goedgeïnformeerde persoon tot dezelfde conclusies zou komen als de auditor. Betrouwbare informatie is de best denkbare informatie die is verkregen door het gebruik van passende audittechnieken. Relevante informatie ondersteunt de opdrachtbevindingen en aanbevelingen en is in overeenstemming met de doelstellingen van de opdracht. Nuttige informatie helpt de organisatie haar doelen te bereiken.</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F50E40" w:rsidRDefault="00963DFA" w:rsidP="00963DFA">
                            <w:pPr>
                              <w:pStyle w:val="RedBullets"/>
                              <w:numPr>
                                <w:ilvl w:val="0"/>
                                <w:numId w:val="0"/>
                              </w:numPr>
                              <w:jc w:val="right"/>
                              <w:rPr>
                                <w:rFonts w:cstheme="majorHAnsi"/>
                                <w:sz w:val="22"/>
                                <w:szCs w:val="22"/>
                              </w:rPr>
                            </w:pPr>
                            <w:proofErr w:type="spellStart"/>
                            <w:r w:rsidRPr="00F50E40">
                              <w:rPr>
                                <w:rFonts w:cstheme="majorHAnsi"/>
                                <w:sz w:val="22"/>
                                <w:szCs w:val="22"/>
                                <w:lang w:val="nl-NL"/>
                              </w:rPr>
                              <w:t>Herziene</w:t>
                            </w:r>
                            <w:proofErr w:type="spellEnd"/>
                            <w:r w:rsidRPr="00F50E40">
                              <w:rPr>
                                <w:rFonts w:cstheme="majorHAnsi"/>
                                <w:sz w:val="22"/>
                                <w:szCs w:val="22"/>
                                <w:lang w:val="nl-NL"/>
                              </w:rPr>
                              <w:t xml:space="preserve"> Standaarden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0;margin-top:120.7pt;width:504.75pt;height:260.25pt;z-index:251658240;visibility:visible;mso-wrap-style:square;mso-width-percent:0;mso-height-percent:0;mso-wrap-distance-left:9pt;mso-wrap-distance-top:165.6pt;mso-wrap-distance-right:9pt;mso-wrap-distance-bottom:21.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F20B90" w:rsidRPr="00F20B90">
                        <w:rPr>
                          <w:rFonts w:asciiTheme="majorHAnsi" w:hAnsiTheme="majorHAnsi" w:cstheme="majorHAnsi"/>
                          <w:lang w:val="nl-NL"/>
                        </w:rPr>
                        <w:t>2310 – Identificatie van de informatie</w:t>
                      </w:r>
                    </w:p>
                    <w:p w:rsidR="00E269AE" w:rsidRPr="00E269AE" w:rsidRDefault="00C3762C" w:rsidP="00E269AE">
                      <w:pPr>
                        <w:autoSpaceDE w:val="0"/>
                        <w:autoSpaceDN w:val="0"/>
                        <w:adjustRightInd w:val="0"/>
                        <w:spacing w:before="100" w:beforeAutospacing="1" w:after="100" w:afterAutospacing="1"/>
                        <w:jc w:val="both"/>
                        <w:rPr>
                          <w:rFonts w:ascii="Arial" w:hAnsi="Arial" w:cs="Arial"/>
                          <w:color w:val="000000"/>
                          <w:sz w:val="22"/>
                          <w:szCs w:val="22"/>
                        </w:rPr>
                      </w:pPr>
                      <w:r w:rsidRPr="00C3762C">
                        <w:rPr>
                          <w:rFonts w:ascii="Arial" w:hAnsi="Arial" w:cs="Arial"/>
                          <w:color w:val="000000"/>
                          <w:sz w:val="22"/>
                          <w:szCs w:val="22"/>
                          <w:lang w:val="nl-NL"/>
                        </w:rPr>
                        <w:t>Internal auditors moeten voldoende, betrouwbare, relevante en nuttige informatie verkrijgen om de doelstellingen van de opdracht te realiseren.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E269AE" w:rsidRDefault="00C3762C" w:rsidP="00963DFA">
                      <w:pPr>
                        <w:spacing w:before="100" w:beforeAutospacing="1" w:after="100" w:afterAutospacing="1"/>
                        <w:rPr>
                          <w:i/>
                          <w:color w:val="000000"/>
                        </w:rPr>
                      </w:pPr>
                      <w:r w:rsidRPr="00C3762C">
                        <w:rPr>
                          <w:rFonts w:ascii="Arial" w:hAnsi="Arial" w:cs="Arial"/>
                          <w:i/>
                          <w:iCs/>
                          <w:color w:val="000000"/>
                          <w:sz w:val="22"/>
                          <w:szCs w:val="22"/>
                          <w:lang w:val="nl-NL"/>
                        </w:rPr>
                        <w:t>Voldoende informatie is feitelijk, adequaat en overtuigend, zodat een verstandig, zorgvuldig handelend en goedgeïnformeerde persoon tot dezelfde conclusies zou komen als de auditor. Betrouwbare informatie is de best denkbare informatie die is verkregen door het gebruik van passende audittechnieken. Relevante informatie ondersteunt de opdrachtbevindingen en aanbevelingen en is in overeenstemming met de doelstellingen van de opdracht. Nuttige informatie helpt de organisatie haar doelen te bereiken.</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F50E40" w:rsidRDefault="00963DFA" w:rsidP="00963DFA">
                      <w:pPr>
                        <w:pStyle w:val="RedBullets"/>
                        <w:numPr>
                          <w:ilvl w:val="0"/>
                          <w:numId w:val="0"/>
                        </w:numPr>
                        <w:jc w:val="right"/>
                        <w:rPr>
                          <w:rFonts w:cstheme="majorHAnsi"/>
                          <w:sz w:val="22"/>
                          <w:szCs w:val="22"/>
                        </w:rPr>
                      </w:pPr>
                      <w:proofErr w:type="spellStart"/>
                      <w:r w:rsidRPr="00F50E40">
                        <w:rPr>
                          <w:rFonts w:cstheme="majorHAnsi"/>
                          <w:sz w:val="22"/>
                          <w:szCs w:val="22"/>
                          <w:lang w:val="nl-NL"/>
                        </w:rPr>
                        <w:t>Herziene</w:t>
                      </w:r>
                      <w:proofErr w:type="spellEnd"/>
                      <w:r w:rsidRPr="00F50E40">
                        <w:rPr>
                          <w:rFonts w:cstheme="majorHAnsi"/>
                          <w:sz w:val="22"/>
                          <w:szCs w:val="22"/>
                          <w:lang w:val="nl-NL"/>
                        </w:rPr>
                        <w:t xml:space="preserve"> Standaarden die per 1 januari 2017 van kracht zijn</w:t>
                      </w:r>
                    </w:p>
                  </w:txbxContent>
                </v:textbox>
                <w10:wrap type="square" anchorx="margin" anchory="margin"/>
              </v:shape>
            </w:pict>
          </mc:Fallback>
        </mc:AlternateContent>
      </w:r>
      <w:r w:rsidR="00685768" w:rsidRPr="00F50E40">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F20B90">
                              <w:rPr>
                                <w:color w:val="FFFFFF" w:themeColor="background1"/>
                                <w:sz w:val="50"/>
                                <w:szCs w:val="50"/>
                                <w:lang w:val="nl-NL"/>
                                <w14:textOutline w14:w="9525" w14:cap="flat" w14:cmpd="sng" w14:algn="ctr">
                                  <w14:noFill/>
                                  <w14:prstDash w14:val="solid"/>
                                  <w14:round/>
                                </w14:textOutline>
                              </w:rPr>
                              <w:t>31</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F20B90">
                        <w:rPr>
                          <w:color w:val="FFFFFF" w:themeColor="background1"/>
                          <w:sz w:val="50"/>
                          <w:szCs w:val="50"/>
                          <w:lang w:val="nl-NL"/>
                          <w14:textOutline w14:w="9525" w14:cap="flat" w14:cmpd="sng" w14:algn="ctr">
                            <w14:noFill/>
                            <w14:prstDash w14:val="solid"/>
                            <w14:round/>
                          </w14:textOutline>
                        </w:rPr>
                        <w:t>31</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F50E40">
        <w:rPr>
          <w:rFonts w:asciiTheme="minorHAnsi" w:hAnsiTheme="minorHAnsi" w:cstheme="minorHAnsi"/>
          <w:lang w:val="nl-NL"/>
        </w:rPr>
        <w:t xml:space="preserve">Inleiding </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De internal auditfunctie maakt gebruik van een systematische en gedisciplineerde aanpak om de effectiviteit van </w:t>
      </w:r>
      <w:proofErr w:type="spellStart"/>
      <w:r w:rsidRPr="00F50E40">
        <w:rPr>
          <w:rFonts w:asciiTheme="minorHAnsi" w:hAnsiTheme="minorHAnsi" w:cstheme="minorHAnsi"/>
          <w:sz w:val="22"/>
          <w:szCs w:val="22"/>
          <w:lang w:val="nl-NL"/>
        </w:rPr>
        <w:t>governance</w:t>
      </w:r>
      <w:proofErr w:type="spellEnd"/>
      <w:r w:rsidRPr="00F50E40">
        <w:rPr>
          <w:rFonts w:asciiTheme="minorHAnsi" w:hAnsiTheme="minorHAnsi" w:cstheme="minorHAnsi"/>
          <w:sz w:val="22"/>
          <w:szCs w:val="22"/>
          <w:lang w:val="nl-NL"/>
        </w:rPr>
        <w:t>-, risicomanagement- en controleprocessen te evalueren en te verbeteren. De systematische en gedisciplineerde aanpak vereist dat internal auditors informatie identificeren, analyseren, evalueren en documenteren ter ondersteuning van de resultaten van een opdracht en de conclusies van de internal auditors. Standaard 2310 definieert de criteria van de informatie die moeten worden geïdentificeerd.</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Internal auditors beginnen met het verzamelen van informatie, inclusief auditbewijzen, bij het plannen van de opdracht. Een evaluatie van de doelstellingen en het werkprogramma van de opdracht helpt </w:t>
      </w:r>
      <w:r w:rsidRPr="00F50E40">
        <w:rPr>
          <w:rFonts w:asciiTheme="minorHAnsi" w:hAnsiTheme="minorHAnsi" w:cstheme="minorHAnsi"/>
          <w:sz w:val="22"/>
          <w:szCs w:val="22"/>
          <w:lang w:val="nl-NL"/>
        </w:rPr>
        <w:lastRenderedPageBreak/>
        <w:t>internal auditors om zich voor te bereiden op het identificeren van voldoende, betrouwbare, relevante en bruikbare informatie. Het werkprogramma schrijft de procedures voor die internal auditors gebruiken om de opdracht uit te voeren.</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Het kan nuttig zijn voor internal auditors om het beleid van de organisatie te beoordelen, evenals de wetgeving inzake gegevensbescherming in het rechtsgebied, voordat ze aan werkzaamheden voor de opdracht beginnen. Ze kunnen ook de raadsman van de organisatie of andere toepasselijke </w:t>
      </w:r>
      <w:proofErr w:type="spellStart"/>
      <w:r w:rsidRPr="00F50E40">
        <w:rPr>
          <w:rFonts w:asciiTheme="minorHAnsi" w:hAnsiTheme="minorHAnsi" w:cstheme="minorHAnsi"/>
          <w:sz w:val="22"/>
          <w:szCs w:val="22"/>
          <w:lang w:val="nl-NL"/>
        </w:rPr>
        <w:t>vakdeskundigen</w:t>
      </w:r>
      <w:proofErr w:type="spellEnd"/>
      <w:r w:rsidRPr="00F50E40">
        <w:rPr>
          <w:rFonts w:asciiTheme="minorHAnsi" w:hAnsiTheme="minorHAnsi" w:cstheme="minorHAnsi"/>
          <w:sz w:val="22"/>
          <w:szCs w:val="22"/>
          <w:lang w:val="nl-NL"/>
        </w:rPr>
        <w:t xml:space="preserve"> raadplegen bij eventuele vragen of problemen met betrekking tot toegang tot persoonsgegevens.</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Het proces van identificatie van informatie wordt vergemakkelijkt door een open en op samenwerking gebaseerde communicatie tussen de internal auditor en het personeel van de organisatie, met name het personeel dat direct betrokken is bij het onderzochte gebied of proces. Het opzetten en onderhouden van effectieve communicatiekanalen is een belangrijk aspect van de uitvoering van de opdracht. Organisatorische onafhankelijkheid van de internal auditfunctie is ook essentieel voor open communicatie (zie Standaard 1110 – Organisatorische onafhankelijkheid).</w:t>
      </w:r>
    </w:p>
    <w:p w:rsidR="002F57B5" w:rsidRPr="00F50E40" w:rsidRDefault="002F57B5" w:rsidP="002F57B5">
      <w:pPr>
        <w:pStyle w:val="TemplateHeadline"/>
        <w:rPr>
          <w:rFonts w:asciiTheme="minorHAnsi" w:hAnsiTheme="minorHAnsi" w:cstheme="minorHAnsi"/>
          <w:color w:val="000000"/>
          <w:sz w:val="22"/>
          <w:szCs w:val="22"/>
        </w:rPr>
      </w:pPr>
    </w:p>
    <w:p w:rsidR="002F57B5" w:rsidRPr="00F50E40" w:rsidRDefault="00685768" w:rsidP="002F57B5">
      <w:pPr>
        <w:pStyle w:val="TemplateHeadline"/>
        <w:rPr>
          <w:rFonts w:asciiTheme="minorHAnsi" w:hAnsiTheme="minorHAnsi" w:cstheme="minorHAnsi"/>
        </w:rPr>
      </w:pPr>
      <w:r w:rsidRPr="00F50E40">
        <w:rPr>
          <w:rFonts w:asciiTheme="minorHAnsi" w:hAnsiTheme="minorHAnsi" w:cstheme="minorHAnsi"/>
          <w:lang w:val="nl-NL"/>
        </w:rPr>
        <w:t xml:space="preserve">Overwegingen bij de implementatie </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Tijdens de planning van de opdracht verzamelen internal auditors informatie over de auditklant en documenteren ze de informatie in werkdocumenten. Het niveau van analyse en detail dat tijdens de </w:t>
      </w:r>
      <w:proofErr w:type="spellStart"/>
      <w:r w:rsidRPr="00F50E40">
        <w:rPr>
          <w:rFonts w:asciiTheme="minorHAnsi" w:hAnsiTheme="minorHAnsi" w:cstheme="minorHAnsi"/>
          <w:sz w:val="22"/>
          <w:szCs w:val="22"/>
          <w:lang w:val="nl-NL"/>
        </w:rPr>
        <w:t>planningfase</w:t>
      </w:r>
      <w:proofErr w:type="spellEnd"/>
      <w:r w:rsidRPr="00F50E40">
        <w:rPr>
          <w:rFonts w:asciiTheme="minorHAnsi" w:hAnsiTheme="minorHAnsi" w:cstheme="minorHAnsi"/>
          <w:sz w:val="22"/>
          <w:szCs w:val="22"/>
          <w:lang w:val="nl-NL"/>
        </w:rPr>
        <w:t xml:space="preserve"> wordt toegepast, varieert afhankelijk van de internal auditfunctie en opdracht. De evaluatie van de </w:t>
      </w:r>
      <w:proofErr w:type="spellStart"/>
      <w:r w:rsidRPr="00F50E40">
        <w:rPr>
          <w:rFonts w:asciiTheme="minorHAnsi" w:hAnsiTheme="minorHAnsi" w:cstheme="minorHAnsi"/>
          <w:sz w:val="22"/>
          <w:szCs w:val="22"/>
          <w:lang w:val="nl-NL"/>
        </w:rPr>
        <w:t>toereikendheid</w:t>
      </w:r>
      <w:proofErr w:type="spellEnd"/>
      <w:r w:rsidRPr="00F50E40">
        <w:rPr>
          <w:rFonts w:asciiTheme="minorHAnsi" w:hAnsiTheme="minorHAnsi" w:cstheme="minorHAnsi"/>
          <w:sz w:val="22"/>
          <w:szCs w:val="22"/>
          <w:lang w:val="nl-NL"/>
        </w:rPr>
        <w:t xml:space="preserve"> van het </w:t>
      </w:r>
      <w:proofErr w:type="spellStart"/>
      <w:r w:rsidRPr="00F50E40">
        <w:rPr>
          <w:rFonts w:asciiTheme="minorHAnsi" w:hAnsiTheme="minorHAnsi" w:cstheme="minorHAnsi"/>
          <w:sz w:val="22"/>
          <w:szCs w:val="22"/>
          <w:lang w:val="nl-NL"/>
        </w:rPr>
        <w:t>beheersontwerp</w:t>
      </w:r>
      <w:proofErr w:type="spellEnd"/>
      <w:r w:rsidRPr="00F50E40">
        <w:rPr>
          <w:rFonts w:asciiTheme="minorHAnsi" w:hAnsiTheme="minorHAnsi" w:cstheme="minorHAnsi"/>
          <w:sz w:val="22"/>
          <w:szCs w:val="22"/>
          <w:lang w:val="nl-NL"/>
        </w:rPr>
        <w:t xml:space="preserve"> wordt vaak voltooid als onderdeel van de opdrachtplanning, omdat het internal auditors helpt bij het identificeren van belangrijke beheersingsmaatregelen die verder getoetst moeten worden op effectiviteit. Auditbewijs kan dus voortvloeien uit toetsing van het ontwerp van beheersprocessen.</w:t>
      </w:r>
    </w:p>
    <w:p w:rsidR="00E462B2" w:rsidRPr="00F50E40" w:rsidRDefault="00E462B2" w:rsidP="00E462B2">
      <w:pPr>
        <w:pStyle w:val="TemplateBodyText"/>
        <w:rPr>
          <w:rFonts w:asciiTheme="minorHAnsi" w:hAnsiTheme="minorHAnsi" w:cstheme="minorHAnsi"/>
          <w:sz w:val="22"/>
          <w:szCs w:val="22"/>
        </w:rPr>
      </w:pPr>
      <w:r w:rsidRPr="00F50E40">
        <w:rPr>
          <w:rFonts w:asciiTheme="minorHAnsi" w:hAnsiTheme="minorHAnsi" w:cstheme="minorHAnsi"/>
          <w:sz w:val="22"/>
          <w:szCs w:val="22"/>
          <w:lang w:val="nl-NL"/>
        </w:rPr>
        <w:t>Volgens Standaard 2310 hangt de betrouwbaarheid van de auditinformatie af van het gebruik van de juiste opdrachttechnieken. Voor sommige technieken is meer tijd nodig of ze vereisen meer middelen dan andere, maar ze kunnen de investering waard zijn omdat ze een hoger niveau van assurance mogelijk maken. Eenvoudige handmatige auditprocedures omvatten over het algemeen het volgende:</w:t>
      </w:r>
    </w:p>
    <w:p w:rsidR="00E462B2" w:rsidRPr="00F50E40" w:rsidRDefault="00E462B2" w:rsidP="00E462B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50E40">
        <w:rPr>
          <w:rFonts w:asciiTheme="minorHAnsi" w:hAnsiTheme="minorHAnsi" w:cstheme="minorHAnsi"/>
          <w:sz w:val="22"/>
          <w:szCs w:val="22"/>
          <w:lang w:val="nl-NL"/>
        </w:rPr>
        <w:lastRenderedPageBreak/>
        <w:t>Inspectie van fysiek bewijs, zoals de fysieke eigenschappen van het onderzochte gebied.</w:t>
      </w:r>
    </w:p>
    <w:p w:rsidR="00E462B2" w:rsidRPr="00F50E40" w:rsidRDefault="00E462B2" w:rsidP="00E462B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50E40">
        <w:rPr>
          <w:rFonts w:asciiTheme="minorHAnsi" w:hAnsiTheme="minorHAnsi" w:cstheme="minorHAnsi"/>
          <w:sz w:val="22"/>
          <w:szCs w:val="22"/>
          <w:lang w:val="nl-NL"/>
        </w:rPr>
        <w:t>Documentatie van hetzij de auditklant of uit externe bronnen bestuderen.</w:t>
      </w:r>
    </w:p>
    <w:p w:rsidR="00E462B2" w:rsidRPr="00F50E40" w:rsidRDefault="00E462B2" w:rsidP="00E462B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50E40">
        <w:rPr>
          <w:rFonts w:asciiTheme="minorHAnsi" w:hAnsiTheme="minorHAnsi" w:cstheme="minorHAnsi"/>
          <w:sz w:val="22"/>
          <w:szCs w:val="22"/>
          <w:lang w:val="nl-NL"/>
        </w:rPr>
        <w:t>Het verzamelen van bewijzen in de vorm van getuigenissen door middel van interviews, enquêtes of zelfevaluaties op het gebied van risico's en beheersing.</w:t>
      </w:r>
    </w:p>
    <w:p w:rsidR="00E462B2" w:rsidRPr="00F50E40" w:rsidRDefault="00E462B2" w:rsidP="00E462B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50E40">
        <w:rPr>
          <w:rFonts w:asciiTheme="minorHAnsi" w:hAnsiTheme="minorHAnsi" w:cstheme="minorHAnsi"/>
          <w:sz w:val="22"/>
          <w:szCs w:val="22"/>
          <w:lang w:val="nl-NL"/>
        </w:rPr>
        <w:t>Het uitvoeren van een walk-</w:t>
      </w:r>
      <w:proofErr w:type="spellStart"/>
      <w:r w:rsidRPr="00F50E40">
        <w:rPr>
          <w:rFonts w:asciiTheme="minorHAnsi" w:hAnsiTheme="minorHAnsi" w:cstheme="minorHAnsi"/>
          <w:sz w:val="22"/>
          <w:szCs w:val="22"/>
          <w:lang w:val="nl-NL"/>
        </w:rPr>
        <w:t>through</w:t>
      </w:r>
      <w:proofErr w:type="spellEnd"/>
      <w:r w:rsidRPr="00F50E40">
        <w:rPr>
          <w:rFonts w:asciiTheme="minorHAnsi" w:hAnsiTheme="minorHAnsi" w:cstheme="minorHAnsi"/>
          <w:sz w:val="22"/>
          <w:szCs w:val="22"/>
          <w:lang w:val="nl-NL"/>
        </w:rPr>
        <w:t xml:space="preserve"> om een ​​proces in actie te observeren.</w:t>
      </w:r>
    </w:p>
    <w:p w:rsidR="00E462B2" w:rsidRPr="00F50E40" w:rsidRDefault="00E462B2" w:rsidP="00E462B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50E40">
        <w:rPr>
          <w:rFonts w:asciiTheme="minorHAnsi" w:hAnsiTheme="minorHAnsi" w:cstheme="minorHAnsi"/>
          <w:sz w:val="22"/>
          <w:szCs w:val="22"/>
          <w:lang w:val="nl-NL"/>
        </w:rPr>
        <w:t>Onderzoeken van gegevens die continu wordt gecontroleerd via technologie.</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Complexere procedures voor het analyseren en evalueren van informatie worden nader besproken in Implementatierichtlijn 2320 – Analyse en evaluatie.</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De </w:t>
      </w:r>
      <w:proofErr w:type="spellStart"/>
      <w:r w:rsidRPr="00F50E40">
        <w:rPr>
          <w:rFonts w:asciiTheme="minorHAnsi" w:hAnsiTheme="minorHAnsi" w:cstheme="minorHAnsi"/>
          <w:sz w:val="22"/>
          <w:szCs w:val="22"/>
          <w:lang w:val="nl-NL"/>
        </w:rPr>
        <w:t>toereikendheid</w:t>
      </w:r>
      <w:proofErr w:type="spellEnd"/>
      <w:r w:rsidRPr="00F50E40">
        <w:rPr>
          <w:rFonts w:asciiTheme="minorHAnsi" w:hAnsiTheme="minorHAnsi" w:cstheme="minorHAnsi"/>
          <w:sz w:val="22"/>
          <w:szCs w:val="22"/>
          <w:lang w:val="nl-NL"/>
        </w:rPr>
        <w:t xml:space="preserve"> en betrouwbaarheid van de informatie nemen toe wanneer de informatie actueel is, gestaafd is en/of rechtstreeks door een interne auditor is verkregen (bv. een proces observeren of documentatie beoordelen) of van een onafhankelijke derde. Informatie is ook betrouwbaarder als deze wordt verzameld uit een systeem waar de beheersingsmaatregelen effectief functioneren. </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Misschien is een van de belangrijkste kenmerken van voldoende en betrouwbare informatie dat deze zodanig verzameld en gedocumenteerd dient te worden dat een verstandig, geïnformeerd persoon (bv., een toezichthouder of externe beoordelaar van internal audits) in staat zou moeten zijn om de stappen en toetsingen zoals beschreven in de werkdocumenten te herhalen, dezelfde resultaten te bereiken en logischerwijs tot dezelfde conclusies komen als de oorspronkelijke internal auditors die het werk hebben uitgevoerd. Daarom is het belangrijk dat het hoofd van de internal auditfunctie (CAE) een systeem van documentatie opzet, met inbegrip van de voorkeursterminologie en gestandaardiseerde notaties (bv. Symbolen en vinkjes), en dat internal auditors dit systeem consequent gebruiken. Documentatie wordt uitgebreider besproken in Implementatierichtlijn 2330 – Documenteren van informatie.</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Omdat opdrachtmiddelen niet onbeperkt zijn, is het voor internal auditors van belang de meest relevante en nuttige informatie te identificeren en prioriteren (d.w.z., informatie die observaties en aanbevelingen met betrekking tot opdrachten ondersteunt of er geloofwaardigheid aan geeft). Het is ook belangrijk dat internal auditors alle opdrachtinformatie als geheel kritisch beoordelen, in plaats van te vertrouwen op enkele voorbeelden, omdat hun conclusies en adviezen gebaseerd zijn op bewijs dat overtuigend is, in plaats van absoluut.</w:t>
      </w:r>
    </w:p>
    <w:p w:rsidR="002F57B5" w:rsidRPr="00F50E40" w:rsidRDefault="002F57B5" w:rsidP="002F57B5">
      <w:pPr>
        <w:pStyle w:val="TemplateHeadline"/>
        <w:rPr>
          <w:rFonts w:asciiTheme="minorHAnsi" w:hAnsiTheme="minorHAnsi" w:cstheme="minorHAnsi"/>
          <w:color w:val="000000"/>
          <w:sz w:val="22"/>
          <w:szCs w:val="22"/>
        </w:rPr>
      </w:pPr>
    </w:p>
    <w:p w:rsidR="00FE4706" w:rsidRPr="00F50E40" w:rsidRDefault="00685768" w:rsidP="002F57B5">
      <w:pPr>
        <w:pStyle w:val="TemplateHeadline"/>
        <w:rPr>
          <w:rFonts w:asciiTheme="minorHAnsi" w:hAnsiTheme="minorHAnsi" w:cstheme="minorHAnsi"/>
          <w:lang w:val="nl-NL"/>
        </w:rPr>
      </w:pPr>
      <w:r w:rsidRPr="00F50E40">
        <w:rPr>
          <w:rFonts w:asciiTheme="minorHAnsi" w:hAnsiTheme="minorHAnsi" w:cstheme="minorHAnsi"/>
          <w:lang w:val="nl-NL"/>
        </w:rPr>
        <w:lastRenderedPageBreak/>
        <w:t>Overwegingen b</w:t>
      </w:r>
      <w:r w:rsidR="002F57B5" w:rsidRPr="00F50E40">
        <w:rPr>
          <w:rFonts w:asciiTheme="minorHAnsi" w:hAnsiTheme="minorHAnsi" w:cstheme="minorHAnsi"/>
          <w:lang w:val="nl-NL"/>
        </w:rPr>
        <w:t>ij het aantonen van de naleving</w:t>
      </w:r>
    </w:p>
    <w:p w:rsidR="00E462B2" w:rsidRPr="00F50E40"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 xml:space="preserve">Naleving van Standaard 2310 kan worden aangetoond in het werkprogramma van de opdracht en de ondersteunende werkdocumenten van de opdracht die elektronisch of in papieren vorm kunnen worden opgeslagen. Werkdocumenten worden meestal georganiseerd in de volgorde van het werkprogramma en hebben een koppeling naar het werkprogramma, of ze nu ​​de vorm hebben van afzonderlijke pagina's of van auditstappen in een geautomatiseerd auditsysteem. Als gevolg van het toezicht wordt bewijs ter ondersteuning van de doelstellingen gerealiseerd door identificatie van voldoende, betrouwbare, relevante en nuttige informatie. </w:t>
      </w:r>
    </w:p>
    <w:p w:rsidR="00FE4706" w:rsidRDefault="00E462B2" w:rsidP="00E462B2">
      <w:pPr>
        <w:pStyle w:val="TemplateBodyText"/>
        <w:rPr>
          <w:rFonts w:asciiTheme="minorHAnsi" w:hAnsiTheme="minorHAnsi" w:cstheme="minorHAnsi"/>
          <w:sz w:val="22"/>
          <w:szCs w:val="22"/>
          <w:lang w:val="nl-NL"/>
        </w:rPr>
      </w:pPr>
      <w:r w:rsidRPr="00F50E40">
        <w:rPr>
          <w:rFonts w:asciiTheme="minorHAnsi" w:hAnsiTheme="minorHAnsi" w:cstheme="minorHAnsi"/>
          <w:sz w:val="22"/>
          <w:szCs w:val="22"/>
          <w:lang w:val="nl-NL"/>
        </w:rPr>
        <w:t>Om te bevestigen dat de verstrekte informatie nuttig was voor de organisatie, zouden enquêtes kunnen worden verstrekt aan personeel in het onderzochte gebied (nadat de communicatie over de auditopdracht is afgerond). Daarnaast monitort de CAE de opvolging van de aan het management meegedeelde opdrachtresultaten, die bewijs van het nut van de gecommuniceerde informatie kunnen bieden.</w:t>
      </w:r>
    </w:p>
    <w:p w:rsidR="00F50E40" w:rsidRPr="00F50E40" w:rsidRDefault="00F50E40" w:rsidP="00E462B2">
      <w:pPr>
        <w:pStyle w:val="TemplateBodyText"/>
        <w:rPr>
          <w:rFonts w:asciiTheme="minorHAnsi" w:hAnsiTheme="minorHAnsi" w:cstheme="minorHAnsi"/>
          <w:sz w:val="22"/>
          <w:szCs w:val="22"/>
          <w:lang w:val="nl-NL"/>
        </w:rPr>
      </w:pPr>
    </w:p>
    <w:p w:rsidR="002F57B5" w:rsidRPr="00F50E40" w:rsidRDefault="00685768" w:rsidP="002F57B5">
      <w:pPr>
        <w:pStyle w:val="TemplateHeadline"/>
        <w:rPr>
          <w:rFonts w:asciiTheme="minorHAnsi" w:hAnsiTheme="minorHAnsi" w:cstheme="minorHAnsi"/>
          <w:lang w:val="nl-NL"/>
        </w:rPr>
      </w:pPr>
      <w:r w:rsidRPr="00F50E40">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3848100</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Ue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F50E40">
        <w:rPr>
          <w:rFonts w:asciiTheme="minorHAnsi" w:hAnsiTheme="minorHAnsi" w:cstheme="minorHAnsi"/>
          <w:color w:val="000000"/>
          <w:sz w:val="24"/>
          <w:szCs w:val="24"/>
          <w:lang w:val="nl-NL"/>
        </w:rPr>
        <w:t xml:space="preserve"> </w:t>
      </w:r>
    </w:p>
    <w:sectPr w:rsidR="002F57B5" w:rsidRPr="00F50E40"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F50E40">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F50E40">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610870</wp:posOffset>
              </wp:positionV>
              <wp:extent cx="6172200" cy="284480"/>
              <wp:effectExtent l="0" t="0" r="0" b="1270"/>
              <wp:wrapThrough wrapText="bothSides">
                <wp:wrapPolygon edited="0">
                  <wp:start x="133" y="0"/>
                  <wp:lineTo x="133" y="20250"/>
                  <wp:lineTo x="21400" y="20250"/>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F50E40">
                            <w:rPr>
                              <w:rFonts w:ascii="Arial" w:hAnsi="Arial" w:cs="Arial"/>
                              <w:color w:val="0F1F4B"/>
                              <w:lang w:val="nl-NL"/>
                            </w:rPr>
                            <w:t>2310 -</w:t>
                          </w:r>
                          <w:r w:rsidR="00F20B90" w:rsidRPr="00F20B90">
                            <w:rPr>
                              <w:rFonts w:ascii="Arial" w:hAnsi="Arial" w:cs="Arial"/>
                              <w:color w:val="0F1F4B"/>
                              <w:lang w:val="nl-NL"/>
                            </w:rPr>
                            <w:t xml:space="preserve"> Identificatie van de informatie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34.8pt;margin-top:48.1pt;width:486pt;height:22.4pt;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F50E40">
                      <w:rPr>
                        <w:rFonts w:ascii="Arial" w:hAnsi="Arial" w:cs="Arial"/>
                        <w:color w:val="0F1F4B"/>
                        <w:lang w:val="nl-NL"/>
                      </w:rPr>
                      <w:t>2310 -</w:t>
                    </w:r>
                    <w:r w:rsidR="00F20B90" w:rsidRPr="00F20B90">
                      <w:rPr>
                        <w:rFonts w:ascii="Arial" w:hAnsi="Arial" w:cs="Arial"/>
                        <w:color w:val="0F1F4B"/>
                        <w:lang w:val="nl-NL"/>
                      </w:rPr>
                      <w:t xml:space="preserve"> Identificatie van de informatie</w:t>
                    </w:r>
                  </w:p>
                </w:txbxContent>
              </v:textbox>
              <w10:wrap type="through" anchorx="margin"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5C501B"/>
    <w:rsid w:val="00685768"/>
    <w:rsid w:val="008327A3"/>
    <w:rsid w:val="00963DFA"/>
    <w:rsid w:val="009C730B"/>
    <w:rsid w:val="00B9149D"/>
    <w:rsid w:val="00C3762C"/>
    <w:rsid w:val="00C6368B"/>
    <w:rsid w:val="00E269AE"/>
    <w:rsid w:val="00E462B2"/>
    <w:rsid w:val="00F20B90"/>
    <w:rsid w:val="00F50E40"/>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E462B2"/>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9624B-A0B9-4DD6-B7F2-9D856EEDB36D}">
  <ds:schemaRefs>
    <ds:schemaRef ds:uri="http://schemas.openxmlformats.org/officeDocument/2006/bibliography"/>
  </ds:schemaRefs>
</ds:datastoreItem>
</file>

<file path=customXml/itemProps2.xml><?xml version="1.0" encoding="utf-8"?>
<ds:datastoreItem xmlns:ds="http://schemas.openxmlformats.org/officeDocument/2006/customXml" ds:itemID="{AD55078D-9D73-4CA9-BE4A-2252D0C85916}"/>
</file>

<file path=customXml/itemProps3.xml><?xml version="1.0" encoding="utf-8"?>
<ds:datastoreItem xmlns:ds="http://schemas.openxmlformats.org/officeDocument/2006/customXml" ds:itemID="{EF0F0048-8C6B-49CA-BBF6-D71516BF1BA6}"/>
</file>

<file path=customXml/itemProps4.xml><?xml version="1.0" encoding="utf-8"?>
<ds:datastoreItem xmlns:ds="http://schemas.openxmlformats.org/officeDocument/2006/customXml" ds:itemID="{67D28ECA-2BA5-4C54-8416-19F275DC95E7}"/>
</file>

<file path=docProps/app.xml><?xml version="1.0" encoding="utf-8"?>
<Properties xmlns="http://schemas.openxmlformats.org/officeDocument/2006/extended-properties" xmlns:vt="http://schemas.openxmlformats.org/officeDocument/2006/docPropsVTypes">
  <Template>F8ED3284</Template>
  <TotalTime>4</TotalTime>
  <Pages>5</Pages>
  <Words>993</Words>
  <Characters>5464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6</cp:revision>
  <dcterms:created xsi:type="dcterms:W3CDTF">2017-08-21T10:16:00Z</dcterms:created>
  <dcterms:modified xsi:type="dcterms:W3CDTF">2017-08-21T14:00:00Z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