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7B5" w:rsidRPr="00693ACD" w:rsidRDefault="00C6368B" w:rsidP="002F57B5">
      <w:pPr>
        <w:pStyle w:val="TemplateHeadline"/>
        <w:rPr>
          <w:rFonts w:asciiTheme="minorHAnsi" w:hAnsiTheme="minorHAnsi" w:cstheme="minorHAnsi"/>
        </w:rPr>
      </w:pPr>
      <w:r w:rsidRPr="00693ACD">
        <w:rPr>
          <w:rFonts w:asciiTheme="minorHAnsi" w:hAnsiTheme="minorHAnsi" w:cstheme="minorHAnsi"/>
          <w:noProof/>
          <w:lang w:val="nl-NL" w:eastAsia="nl-NL"/>
        </w:rPr>
        <mc:AlternateContent>
          <mc:Choice Requires="wps">
            <w:drawing>
              <wp:anchor distT="2103120" distB="274320" distL="114300" distR="114300" simplePos="0" relativeHeight="251658240" behindDoc="0" locked="0" layoutInCell="1" allowOverlap="1" wp14:anchorId="77BB7B64" wp14:editId="6E799E7E">
                <wp:simplePos x="0" y="0"/>
                <wp:positionH relativeFrom="margin">
                  <wp:align>right</wp:align>
                </wp:positionH>
                <wp:positionV relativeFrom="margin">
                  <wp:posOffset>1495425</wp:posOffset>
                </wp:positionV>
                <wp:extent cx="6400800" cy="324802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6400800" cy="3248025"/>
                        </a:xfrm>
                        <a:prstGeom prst="rect">
                          <a:avLst/>
                        </a:prstGeom>
                        <a:solidFill>
                          <a:schemeClr val="bg1">
                            <a:lumMod val="85000"/>
                          </a:scheme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2F57B5" w:rsidRPr="00D24D8B" w:rsidRDefault="002F57B5" w:rsidP="002F57B5">
                            <w:pPr>
                              <w:pStyle w:val="TemplateHeadline"/>
                              <w:rPr>
                                <w:rFonts w:asciiTheme="majorHAnsi" w:hAnsiTheme="majorHAnsi" w:cstheme="majorHAnsi"/>
                              </w:rPr>
                            </w:pPr>
                            <w:bookmarkStart w:id="0" w:name="_GoBack"/>
                            <w:bookmarkEnd w:id="0"/>
                            <w:r w:rsidRPr="00D24D8B">
                              <w:rPr>
                                <w:rFonts w:asciiTheme="majorHAnsi" w:hAnsiTheme="majorHAnsi" w:cstheme="majorHAnsi"/>
                                <w:lang w:val="nl-NL"/>
                              </w:rPr>
                              <w:t xml:space="preserve">Standaard </w:t>
                            </w:r>
                            <w:r w:rsidR="00677622" w:rsidRPr="00677622">
                              <w:rPr>
                                <w:rFonts w:asciiTheme="majorHAnsi" w:hAnsiTheme="majorHAnsi" w:cstheme="majorHAnsi"/>
                                <w:lang w:val="nl-NL"/>
                              </w:rPr>
                              <w:t>2230 – Toewijzing van middelen aan de opdracht</w:t>
                            </w:r>
                          </w:p>
                          <w:p w:rsidR="00E269AE" w:rsidRPr="00E269AE" w:rsidRDefault="00677622" w:rsidP="00E269AE">
                            <w:pPr>
                              <w:autoSpaceDE w:val="0"/>
                              <w:autoSpaceDN w:val="0"/>
                              <w:adjustRightInd w:val="0"/>
                              <w:spacing w:before="100" w:beforeAutospacing="1" w:after="100" w:afterAutospacing="1"/>
                              <w:jc w:val="both"/>
                              <w:rPr>
                                <w:rFonts w:ascii="Arial" w:hAnsi="Arial" w:cs="Arial"/>
                                <w:color w:val="000000"/>
                                <w:sz w:val="22"/>
                                <w:szCs w:val="22"/>
                              </w:rPr>
                            </w:pPr>
                            <w:r w:rsidRPr="00677622">
                              <w:rPr>
                                <w:rFonts w:ascii="Arial" w:hAnsi="Arial" w:cs="Arial"/>
                                <w:color w:val="000000"/>
                                <w:sz w:val="22"/>
                                <w:szCs w:val="22"/>
                                <w:lang w:val="nl-NL"/>
                              </w:rPr>
                              <w:t>Internal auditors moeten bepalen wat passende en toereikende middelen zijn om de doelstellingen van de opdracht te verwezenlijken, uitgaande van een evaluatie van de aard en de complexiteit van elke opdracht, de gestelde tijdslimieten en de beschikbare middelen.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693ACD" w:rsidRDefault="00677622" w:rsidP="00963DFA">
                            <w:pPr>
                              <w:spacing w:before="100" w:beforeAutospacing="1" w:after="100" w:afterAutospacing="1"/>
                              <w:rPr>
                                <w:i/>
                                <w:color w:val="000000"/>
                                <w:sz w:val="22"/>
                                <w:szCs w:val="22"/>
                              </w:rPr>
                            </w:pPr>
                            <w:r w:rsidRPr="00677622">
                              <w:rPr>
                                <w:rFonts w:ascii="Arial" w:hAnsi="Arial" w:cs="Arial"/>
                                <w:i/>
                                <w:iCs/>
                                <w:color w:val="000000"/>
                                <w:sz w:val="22"/>
                                <w:szCs w:val="22"/>
                                <w:lang w:val="nl-NL"/>
                              </w:rPr>
                              <w:t xml:space="preserve">‘Passend’ verwijst naar de mix van kennis, vaardigheden en overige competenties die nodig zijn voor het uitvoeren van opdracht. ‘Toereikend’ verwijst naar de hoeveelheid middelen die nodig is voor het uitvoeren van de </w:t>
                            </w:r>
                            <w:r w:rsidRPr="00693ACD">
                              <w:rPr>
                                <w:rFonts w:ascii="Arial" w:hAnsi="Arial" w:cs="Arial"/>
                                <w:i/>
                                <w:iCs/>
                                <w:color w:val="000000"/>
                                <w:sz w:val="22"/>
                                <w:szCs w:val="22"/>
                                <w:lang w:val="nl-NL"/>
                              </w:rPr>
                              <w:t>opdracht op basis van beroepsmatige zorgvuldigheid.</w:t>
                            </w:r>
                            <w:r w:rsidR="00963DFA" w:rsidRPr="00693ACD">
                              <w:rPr>
                                <w:rFonts w:ascii="Arial" w:hAnsi="Arial" w:cs="Arial"/>
                                <w:i/>
                                <w:iCs/>
                                <w:color w:val="000000"/>
                                <w:sz w:val="22"/>
                                <w:szCs w:val="22"/>
                                <w:lang w:val="nl-NL"/>
                              </w:rPr>
                              <w:t xml:space="preserve"> </w:t>
                            </w:r>
                            <w:r w:rsidR="00E269AE" w:rsidRPr="00693ACD">
                              <w:rPr>
                                <w:rFonts w:ascii="Arial" w:hAnsi="Arial" w:cs="Arial"/>
                                <w:i/>
                                <w:iCs/>
                                <w:color w:val="000000"/>
                                <w:sz w:val="22"/>
                                <w:szCs w:val="22"/>
                                <w:lang w:val="nl-NL"/>
                              </w:rPr>
                              <w:t xml:space="preserve"> </w:t>
                            </w:r>
                          </w:p>
                          <w:p w:rsidR="00963DFA" w:rsidRPr="00693ACD" w:rsidRDefault="00963DFA" w:rsidP="00963DFA">
                            <w:pPr>
                              <w:pStyle w:val="RedBullets"/>
                              <w:numPr>
                                <w:ilvl w:val="0"/>
                                <w:numId w:val="0"/>
                              </w:numPr>
                              <w:jc w:val="right"/>
                              <w:rPr>
                                <w:rFonts w:cstheme="majorHAnsi"/>
                                <w:sz w:val="22"/>
                                <w:szCs w:val="22"/>
                              </w:rPr>
                            </w:pPr>
                            <w:proofErr w:type="spellStart"/>
                            <w:r w:rsidRPr="00693ACD">
                              <w:rPr>
                                <w:rFonts w:cstheme="majorHAnsi"/>
                                <w:sz w:val="22"/>
                                <w:szCs w:val="22"/>
                                <w:lang w:val="nl-NL"/>
                              </w:rPr>
                              <w:t>Herziene</w:t>
                            </w:r>
                            <w:proofErr w:type="spellEnd"/>
                            <w:r w:rsidRPr="00693ACD">
                              <w:rPr>
                                <w:rFonts w:cstheme="majorHAnsi"/>
                                <w:sz w:val="22"/>
                                <w:szCs w:val="22"/>
                                <w:lang w:val="nl-NL"/>
                              </w:rPr>
                              <w:t xml:space="preserve"> </w:t>
                            </w:r>
                            <w:r w:rsidRPr="00693ACD">
                              <w:rPr>
                                <w:rFonts w:cstheme="majorHAnsi"/>
                                <w:i/>
                                <w:sz w:val="22"/>
                                <w:szCs w:val="22"/>
                                <w:lang w:val="nl-NL"/>
                              </w:rPr>
                              <w:t>Standaarden</w:t>
                            </w:r>
                            <w:r w:rsidRPr="00693ACD">
                              <w:rPr>
                                <w:rFonts w:cstheme="majorHAnsi"/>
                                <w:sz w:val="22"/>
                                <w:szCs w:val="22"/>
                                <w:lang w:val="nl-NL"/>
                              </w:rPr>
                              <w:t xml:space="preserve"> die per 1 januari 2017 van kracht zijn</w:t>
                            </w:r>
                          </w:p>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7BB7B64" id="_x0000_t202" coordsize="21600,21600" o:spt="202" path="m,l,21600r21600,l21600,xe">
                <v:stroke joinstyle="miter"/>
                <v:path gradientshapeok="t" o:connecttype="rect"/>
              </v:shapetype>
              <v:shape id="Text Box 5" o:spid="_x0000_s1026" type="#_x0000_t202" style="position:absolute;margin-left:452.8pt;margin-top:117.75pt;width:7in;height:255.75pt;z-index:251658240;visibility:visible;mso-wrap-style:square;mso-height-percent:0;mso-wrap-distance-left:9pt;mso-wrap-distance-top:165.6pt;mso-wrap-distance-right:9pt;mso-wrap-distance-bottom:21.6pt;mso-position-horizontal:right;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" fillcolor="#d8d8d8 [2732]" stroked="f">
                <v:textbox inset="14.4pt,23.76pt,14.4pt,23.76pt">
                  <w:txbxContent>
                    <w:p w:rsidR="002F57B5" w:rsidRPr="00D24D8B" w:rsidRDefault="002F57B5" w:rsidP="002F57B5">
                      <w:pPr>
                        <w:pStyle w:val="TemplateHeadline"/>
                        <w:rPr>
                          <w:rFonts w:asciiTheme="majorHAnsi" w:hAnsiTheme="majorHAnsi" w:cstheme="majorHAnsi"/>
                        </w:rPr>
                      </w:pPr>
                      <w:bookmarkStart w:id="1" w:name="_GoBack"/>
                      <w:bookmarkEnd w:id="1"/>
                      <w:r w:rsidRPr="00D24D8B">
                        <w:rPr>
                          <w:rFonts w:asciiTheme="majorHAnsi" w:hAnsiTheme="majorHAnsi" w:cstheme="majorHAnsi"/>
                          <w:lang w:val="nl-NL"/>
                        </w:rPr>
                        <w:t xml:space="preserve">Standaard </w:t>
                      </w:r>
                      <w:r w:rsidR="00677622" w:rsidRPr="00677622">
                        <w:rPr>
                          <w:rFonts w:asciiTheme="majorHAnsi" w:hAnsiTheme="majorHAnsi" w:cstheme="majorHAnsi"/>
                          <w:lang w:val="nl-NL"/>
                        </w:rPr>
                        <w:t>2230 – Toewijzing van middelen aan de opdracht</w:t>
                      </w:r>
                    </w:p>
                    <w:p w:rsidR="00E269AE" w:rsidRPr="00E269AE" w:rsidRDefault="00677622" w:rsidP="00E269AE">
                      <w:pPr>
                        <w:autoSpaceDE w:val="0"/>
                        <w:autoSpaceDN w:val="0"/>
                        <w:adjustRightInd w:val="0"/>
                        <w:spacing w:before="100" w:beforeAutospacing="1" w:after="100" w:afterAutospacing="1"/>
                        <w:jc w:val="both"/>
                        <w:rPr>
                          <w:rFonts w:ascii="Arial" w:hAnsi="Arial" w:cs="Arial"/>
                          <w:color w:val="000000"/>
                          <w:sz w:val="22"/>
                          <w:szCs w:val="22"/>
                        </w:rPr>
                      </w:pPr>
                      <w:r w:rsidRPr="00677622">
                        <w:rPr>
                          <w:rFonts w:ascii="Arial" w:hAnsi="Arial" w:cs="Arial"/>
                          <w:color w:val="000000"/>
                          <w:sz w:val="22"/>
                          <w:szCs w:val="22"/>
                          <w:lang w:val="nl-NL"/>
                        </w:rPr>
                        <w:t>Internal auditors moeten bepalen wat passende en toereikende middelen zijn om de doelstellingen van de opdracht te verwezenlijken, uitgaande van een evaluatie van de aard en de complexiteit van elke opdracht, de gestelde tijdslimieten en de beschikbare middelen.</w:t>
                      </w:r>
                    </w:p>
                    <w:p w:rsidR="00E269AE" w:rsidRPr="00377F3E" w:rsidRDefault="00E269AE" w:rsidP="00E269AE">
                      <w:pPr>
                        <w:spacing w:before="100" w:beforeAutospacing="1" w:after="100" w:afterAutospacing="1"/>
                        <w:rPr>
                          <w:rFonts w:ascii="Arial" w:hAnsi="Arial" w:cs="Arial"/>
                          <w:color w:val="000000"/>
                          <w:sz w:val="22"/>
                          <w:szCs w:val="22"/>
                        </w:rPr>
                      </w:pPr>
                      <w:r w:rsidRPr="00377F3E">
                        <w:rPr>
                          <w:rFonts w:ascii="Arial" w:hAnsi="Arial" w:cs="Arial"/>
                          <w:b/>
                          <w:bCs/>
                          <w:color w:val="000000"/>
                          <w:sz w:val="22"/>
                          <w:szCs w:val="22"/>
                          <w:lang w:val="nl-NL"/>
                        </w:rPr>
                        <w:t>Interpretatie:</w:t>
                      </w:r>
                    </w:p>
                    <w:p w:rsidR="00963DFA" w:rsidRPr="00693ACD" w:rsidRDefault="00677622" w:rsidP="00963DFA">
                      <w:pPr>
                        <w:spacing w:before="100" w:beforeAutospacing="1" w:after="100" w:afterAutospacing="1"/>
                        <w:rPr>
                          <w:i/>
                          <w:color w:val="000000"/>
                          <w:sz w:val="22"/>
                          <w:szCs w:val="22"/>
                        </w:rPr>
                      </w:pPr>
                      <w:r w:rsidRPr="00677622">
                        <w:rPr>
                          <w:rFonts w:ascii="Arial" w:hAnsi="Arial" w:cs="Arial"/>
                          <w:i/>
                          <w:iCs/>
                          <w:color w:val="000000"/>
                          <w:sz w:val="22"/>
                          <w:szCs w:val="22"/>
                          <w:lang w:val="nl-NL"/>
                        </w:rPr>
                        <w:t xml:space="preserve">‘Passend’ verwijst naar de mix van kennis, vaardigheden en overige competenties die nodig zijn voor het uitvoeren van opdracht. ‘Toereikend’ verwijst naar de hoeveelheid middelen die nodig is voor het uitvoeren van de </w:t>
                      </w:r>
                      <w:r w:rsidRPr="00693ACD">
                        <w:rPr>
                          <w:rFonts w:ascii="Arial" w:hAnsi="Arial" w:cs="Arial"/>
                          <w:i/>
                          <w:iCs/>
                          <w:color w:val="000000"/>
                          <w:sz w:val="22"/>
                          <w:szCs w:val="22"/>
                          <w:lang w:val="nl-NL"/>
                        </w:rPr>
                        <w:t>opdracht op basis van beroepsmatige zorgvuldigheid.</w:t>
                      </w:r>
                      <w:r w:rsidR="00963DFA" w:rsidRPr="00693ACD">
                        <w:rPr>
                          <w:rFonts w:ascii="Arial" w:hAnsi="Arial" w:cs="Arial"/>
                          <w:i/>
                          <w:iCs/>
                          <w:color w:val="000000"/>
                          <w:sz w:val="22"/>
                          <w:szCs w:val="22"/>
                          <w:lang w:val="nl-NL"/>
                        </w:rPr>
                        <w:t xml:space="preserve"> </w:t>
                      </w:r>
                      <w:r w:rsidR="00E269AE" w:rsidRPr="00693ACD">
                        <w:rPr>
                          <w:rFonts w:ascii="Arial" w:hAnsi="Arial" w:cs="Arial"/>
                          <w:i/>
                          <w:iCs/>
                          <w:color w:val="000000"/>
                          <w:sz w:val="22"/>
                          <w:szCs w:val="22"/>
                          <w:lang w:val="nl-NL"/>
                        </w:rPr>
                        <w:t xml:space="preserve"> </w:t>
                      </w:r>
                    </w:p>
                    <w:p w:rsidR="00963DFA" w:rsidRPr="00693ACD" w:rsidRDefault="00963DFA" w:rsidP="00963DFA">
                      <w:pPr>
                        <w:pStyle w:val="RedBullets"/>
                        <w:numPr>
                          <w:ilvl w:val="0"/>
                          <w:numId w:val="0"/>
                        </w:numPr>
                        <w:jc w:val="right"/>
                        <w:rPr>
                          <w:rFonts w:cstheme="majorHAnsi"/>
                          <w:sz w:val="22"/>
                          <w:szCs w:val="22"/>
                        </w:rPr>
                      </w:pPr>
                      <w:proofErr w:type="spellStart"/>
                      <w:r w:rsidRPr="00693ACD">
                        <w:rPr>
                          <w:rFonts w:cstheme="majorHAnsi"/>
                          <w:sz w:val="22"/>
                          <w:szCs w:val="22"/>
                          <w:lang w:val="nl-NL"/>
                        </w:rPr>
                        <w:t>Herziene</w:t>
                      </w:r>
                      <w:proofErr w:type="spellEnd"/>
                      <w:r w:rsidRPr="00693ACD">
                        <w:rPr>
                          <w:rFonts w:cstheme="majorHAnsi"/>
                          <w:sz w:val="22"/>
                          <w:szCs w:val="22"/>
                          <w:lang w:val="nl-NL"/>
                        </w:rPr>
                        <w:t xml:space="preserve"> </w:t>
                      </w:r>
                      <w:r w:rsidRPr="00693ACD">
                        <w:rPr>
                          <w:rFonts w:cstheme="majorHAnsi"/>
                          <w:i/>
                          <w:sz w:val="22"/>
                          <w:szCs w:val="22"/>
                          <w:lang w:val="nl-NL"/>
                        </w:rPr>
                        <w:t>Standaarden</w:t>
                      </w:r>
                      <w:r w:rsidRPr="00693ACD">
                        <w:rPr>
                          <w:rFonts w:cstheme="majorHAnsi"/>
                          <w:sz w:val="22"/>
                          <w:szCs w:val="22"/>
                          <w:lang w:val="nl-NL"/>
                        </w:rPr>
                        <w:t xml:space="preserve"> die per 1 januari 2017 van kracht zijn</w:t>
                      </w:r>
                    </w:p>
                  </w:txbxContent>
                </v:textbox>
                <w10:wrap type="square" anchorx="margin" anchory="margin"/>
              </v:shape>
            </w:pict>
          </mc:Fallback>
        </mc:AlternateContent>
      </w:r>
      <w:r w:rsidR="00685768" w:rsidRPr="00693ACD">
        <w:rPr>
          <w:rFonts w:asciiTheme="minorHAnsi" w:hAnsiTheme="minorHAnsi" w:cstheme="minorHAnsi"/>
          <w:noProof/>
          <w:lang w:val="nl-NL" w:eastAsia="nl-NL"/>
        </w:rPr>
        <mc:AlternateContent>
          <mc:Choice Requires="wps">
            <w:drawing>
              <wp:anchor distT="0" distB="0" distL="114300" distR="114300" simplePos="0" relativeHeight="251662336" behindDoc="0" locked="0" layoutInCell="1" allowOverlap="1" wp14:anchorId="1EC44BA1" wp14:editId="6B961549">
                <wp:simplePos x="0" y="0"/>
                <wp:positionH relativeFrom="page">
                  <wp:posOffset>2428875</wp:posOffset>
                </wp:positionH>
                <wp:positionV relativeFrom="page">
                  <wp:posOffset>923925</wp:posOffset>
                </wp:positionV>
                <wp:extent cx="4343400" cy="16002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4343400" cy="1600200"/>
                        </a:xfrm>
                        <a:prstGeom prst="rect">
                          <a:avLst/>
                        </a:prstGeom>
                        <a:noFill/>
                        <a:ln>
                          <a:noFill/>
                        </a:ln>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677622">
                              <w:rPr>
                                <w:color w:val="FFFFFF" w:themeColor="background1"/>
                                <w:sz w:val="50"/>
                                <w:szCs w:val="50"/>
                                <w:lang w:val="nl-NL"/>
                                <w14:textOutline w14:w="9525" w14:cap="flat" w14:cmpd="sng" w14:algn="ctr">
                                  <w14:noFill/>
                                  <w14:prstDash w14:val="solid"/>
                                  <w14:round/>
                                </w14:textOutline>
                              </w:rPr>
                              <w:t>23</w:t>
                            </w:r>
                            <w:r w:rsidRPr="00E6381B">
                              <w:rPr>
                                <w:color w:val="FFFFFF" w:themeColor="background1"/>
                                <w:sz w:val="50"/>
                                <w:szCs w:val="50"/>
                                <w:lang w:val="nl-NL"/>
                                <w14:textOutline w14:w="9525" w14:cap="flat" w14:cmpd="sng" w14:algn="ctr">
                                  <w14:noFill/>
                                  <w14:prstDash w14:val="solid"/>
                                  <w14:round/>
                                </w14:textOutline>
                              </w:rPr>
                              <w:t>0</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shape w14:anchorId="1EC44BA1" id="Text Box 6" o:spid="_x0000_s1027" type="#_x0000_t202" style="position:absolute;margin-left:191.25pt;margin-top:72.75pt;width:342pt;height:126pt;z-index:25166233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" filled="f" stroked="f">
                <v:textbox>
                  <w:txbxContent>
                    <w:p w:rsidR="002F57B5" w:rsidRPr="00E6381B" w:rsidRDefault="002F57B5" w:rsidP="002F57B5">
                      <w:pPr>
                        <w:pStyle w:val="Headline"/>
                        <w:jc w:val="right"/>
                        <w:rPr>
                          <w:color w:val="FFFFFF" w:themeColor="background1"/>
                          <w:sz w:val="50"/>
                          <w:szCs w:val="50"/>
                          <w14:textOutline w14:w="9525" w14:cap="flat" w14:cmpd="sng" w14:algn="ctr">
                            <w14:noFill/>
                            <w14:prstDash w14:val="solid"/>
                            <w14:round/>
                          </w14:textOutline>
                        </w:rPr>
                      </w:pPr>
                      <w:r w:rsidRPr="00E6381B">
                        <w:rPr>
                          <w:color w:val="FFFFFF" w:themeColor="background1"/>
                          <w:sz w:val="50"/>
                          <w:szCs w:val="50"/>
                          <w:lang w:val="nl-NL"/>
                          <w14:textOutline w14:w="9525" w14:cap="flat" w14:cmpd="sng" w14:algn="ctr">
                            <w14:noFill/>
                            <w14:prstDash w14:val="solid"/>
                            <w14:round/>
                          </w14:textOutline>
                        </w:rPr>
                        <w:t xml:space="preserve">Implementatierichtlijn </w:t>
                      </w:r>
                      <w:r w:rsidR="00E269AE">
                        <w:rPr>
                          <w:color w:val="FFFFFF" w:themeColor="background1"/>
                          <w:sz w:val="50"/>
                          <w:szCs w:val="50"/>
                          <w:lang w:val="nl-NL"/>
                          <w14:textOutline w14:w="9525" w14:cap="flat" w14:cmpd="sng" w14:algn="ctr">
                            <w14:noFill/>
                            <w14:prstDash w14:val="solid"/>
                            <w14:round/>
                          </w14:textOutline>
                        </w:rPr>
                        <w:t>2</w:t>
                      </w:r>
                      <w:r w:rsidR="00677622">
                        <w:rPr>
                          <w:color w:val="FFFFFF" w:themeColor="background1"/>
                          <w:sz w:val="50"/>
                          <w:szCs w:val="50"/>
                          <w:lang w:val="nl-NL"/>
                          <w14:textOutline w14:w="9525" w14:cap="flat" w14:cmpd="sng" w14:algn="ctr">
                            <w14:noFill/>
                            <w14:prstDash w14:val="solid"/>
                            <w14:round/>
                          </w14:textOutline>
                        </w:rPr>
                        <w:t>23</w:t>
                      </w:r>
                      <w:r w:rsidRPr="00E6381B">
                        <w:rPr>
                          <w:color w:val="FFFFFF" w:themeColor="background1"/>
                          <w:sz w:val="50"/>
                          <w:szCs w:val="50"/>
                          <w:lang w:val="nl-NL"/>
                          <w14:textOutline w14:w="9525" w14:cap="flat" w14:cmpd="sng" w14:algn="ctr">
                            <w14:noFill/>
                            <w14:prstDash w14:val="solid"/>
                            <w14:round/>
                          </w14:textOutline>
                        </w:rPr>
                        <w:t>0</w:t>
                      </w:r>
                    </w:p>
                  </w:txbxContent>
                </v:textbox>
                <w10:wrap type="square" anchorx="page" anchory="page"/>
              </v:shape>
            </w:pict>
          </mc:Fallback>
        </mc:AlternateContent>
      </w:r>
      <w:r w:rsidR="00685768" w:rsidRPr="00693ACD">
        <w:rPr>
          <w:rFonts w:asciiTheme="minorHAnsi" w:hAnsiTheme="minorHAnsi" w:cstheme="minorHAnsi"/>
          <w:lang w:val="nl-NL"/>
        </w:rPr>
        <w:t xml:space="preserve">Inleiding </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Om te voldoen aan Standaard 2230, moeten internal auditors ervoor zorgen dat middelen worden toegekend om de doelstellingen van de opdracht te bereiken. Het is essentieel dat internal auditors die aan een opdracht zijn toegewezen over de nodige kennis, vaardigheden, ervaring en extra competenties beschikken om de opdracht kundig en degelijk te kunnen uitvoeren. Het is ook belangrijk dat de internal auditfunctie over een hoeveelheid middelen beschikt dat voldoende is om te dekken wat er nodig is om de opdracht met de vereiste aandacht voor detail en professionele zorg uit te voeren.</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 xml:space="preserve">Alvorens te bepalen hoe de middelen voor de opdracht het beste kunnen worden toegekend, bestuderen internal auditors over het algemeen de </w:t>
      </w:r>
      <w:proofErr w:type="spellStart"/>
      <w:r w:rsidRPr="00693ACD">
        <w:rPr>
          <w:rFonts w:asciiTheme="minorHAnsi" w:hAnsiTheme="minorHAnsi" w:cstheme="minorHAnsi"/>
          <w:sz w:val="22"/>
          <w:szCs w:val="22"/>
          <w:lang w:val="nl-NL"/>
        </w:rPr>
        <w:t>planningdocumenten</w:t>
      </w:r>
      <w:proofErr w:type="spellEnd"/>
      <w:r w:rsidRPr="00693ACD">
        <w:rPr>
          <w:rFonts w:asciiTheme="minorHAnsi" w:hAnsiTheme="minorHAnsi" w:cstheme="minorHAnsi"/>
          <w:sz w:val="22"/>
          <w:szCs w:val="22"/>
          <w:lang w:val="nl-NL"/>
        </w:rPr>
        <w:t xml:space="preserve"> om een inzicht te krijgen in de doelstellingen en de reikwijdte van de opdracht. Het is ook essentieel voor internal auditors om inzicht </w:t>
      </w:r>
      <w:r w:rsidRPr="00693ACD">
        <w:rPr>
          <w:rFonts w:asciiTheme="minorHAnsi" w:hAnsiTheme="minorHAnsi" w:cstheme="minorHAnsi"/>
          <w:sz w:val="22"/>
          <w:szCs w:val="22"/>
          <w:lang w:val="nl-NL"/>
        </w:rPr>
        <w:lastRenderedPageBreak/>
        <w:t>te krijgen in de aard en complexiteit van de opdracht door gespreken te voeren met belangrijke stakeholders, waaronder het management van het gebied dat aan een audit wordt onderworpen.</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Het is belangrijk voor internal auditors om niet alleen middelen/resources in de vorm van medewerkers te inventariseren, maar ook beschikbare technologie die nuttig of nodig kan zijn om een ​​kwaliteitsopdracht uit te voeren. Ze kunnen ook overwegen of aanvullende externe middelen of technologie nodig zijn om de opdracht te voltooien.</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Door het werkprogramma van de opdracht te beoordelen, kunnen internal auditors een goed idee krijgen van de tijd die elke stap naar verwachting zal nemen. Ze dienen zich bewust te zijn van het aantal uren dat begroot is voor de opdracht, evenals alle beperkingen wat betreft tijd, taal of logistiek of andere beperkingen voor een relevante partij (bv., leden van de internal auditfunctie, het management in het onderzochte gebied, het senior management, het bestuur en/of externe partijen).</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Indien de internal auditfunctie niet de juiste en voldoende medewerkers heeft, wordt de CAE geacht te zorgen voor deskundig advies of ondersteuning om leemtes op te vullen. Implementatierichtlijn 1210 – Vakbekwaamheid biedt verdere richtlijnen voor het verkrijgen van kennis, vaardigheden en andere competenties die nodig zijn om internal auditverantwoordelijkheden te dragen.</w:t>
      </w:r>
    </w:p>
    <w:p w:rsidR="002F57B5" w:rsidRPr="00693ACD" w:rsidRDefault="002F57B5" w:rsidP="002F57B5">
      <w:pPr>
        <w:pStyle w:val="TemplateHeadline"/>
        <w:rPr>
          <w:rFonts w:asciiTheme="minorHAnsi" w:hAnsiTheme="minorHAnsi" w:cstheme="minorHAnsi"/>
          <w:color w:val="000000"/>
          <w:sz w:val="22"/>
          <w:szCs w:val="22"/>
        </w:rPr>
      </w:pPr>
    </w:p>
    <w:p w:rsidR="002F57B5" w:rsidRPr="00693ACD" w:rsidRDefault="00685768" w:rsidP="002F57B5">
      <w:pPr>
        <w:pStyle w:val="TemplateHeadline"/>
        <w:rPr>
          <w:rFonts w:asciiTheme="minorHAnsi" w:hAnsiTheme="minorHAnsi" w:cstheme="minorHAnsi"/>
        </w:rPr>
      </w:pPr>
      <w:r w:rsidRPr="00693ACD">
        <w:rPr>
          <w:rFonts w:asciiTheme="minorHAnsi" w:hAnsiTheme="minorHAnsi" w:cstheme="minorHAnsi"/>
          <w:lang w:val="nl-NL"/>
        </w:rPr>
        <w:t xml:space="preserve">Overwegingen bij de implementatie </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Internal auditors beoordelen doorgaans het werkprogramma van de opdracht en gebruiken hun beste professionele oordeel bij het bepalen van het soort en de hoeveelheid middelen voor toekenning aan een opdracht teneinde de doelstellingen op de best mogelijke wijze te bereiken. Het is belangrijk om de juiste medewerkers toe te wijzen aan de opdracht op basis van hun beschikbaarheid, kennis, vaardigheden en ervaringen. Speciale vaardigheden (bv. financiële verslaggeving, IT, kostenanalyse, vervreemding van activa, constructie, industrie-specifieke vaardigheden en andere) kunnen van onschatbare waarde zijn voor de internal auditfunctie als er correct gebruik van wordt gemaakt. Daarom is het belangrijk dat internal auditors zorgvuldigheid in acht nemen bij het selecteren van de beste beschikbare middelen voor de opdracht.</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 xml:space="preserve">Indien de specifieke vakbekwaamheden van de beschikbare internal auditors onvoldoende zijn om de </w:t>
      </w:r>
      <w:r w:rsidRPr="00693ACD">
        <w:rPr>
          <w:rFonts w:asciiTheme="minorHAnsi" w:hAnsiTheme="minorHAnsi" w:cstheme="minorHAnsi"/>
          <w:sz w:val="22"/>
          <w:szCs w:val="22"/>
          <w:lang w:val="nl-NL"/>
        </w:rPr>
        <w:lastRenderedPageBreak/>
        <w:t xml:space="preserve">opdracht uit te voeren, overwegen de internal auditors over het algemeen of aanvullende training een optie is of dat nauwkeuriger toezicht volstaat. In situaties waarin de bestaande internal auditmedewerkers niet de deskundigheid of kennis hebben om de opdracht uit te voeren, kunnen internal auditors overwegen om bestaande middelen aan te vullen met andere opties, zoals gebruikmaken van gastauditors, een </w:t>
      </w:r>
      <w:proofErr w:type="spellStart"/>
      <w:r w:rsidRPr="00693ACD">
        <w:rPr>
          <w:rFonts w:asciiTheme="minorHAnsi" w:hAnsiTheme="minorHAnsi" w:cstheme="minorHAnsi"/>
          <w:sz w:val="22"/>
          <w:szCs w:val="22"/>
          <w:lang w:val="nl-NL"/>
        </w:rPr>
        <w:t>vakdeskundige</w:t>
      </w:r>
      <w:proofErr w:type="spellEnd"/>
      <w:r w:rsidRPr="00693ACD">
        <w:rPr>
          <w:rFonts w:asciiTheme="minorHAnsi" w:hAnsiTheme="minorHAnsi" w:cstheme="minorHAnsi"/>
          <w:sz w:val="22"/>
          <w:szCs w:val="22"/>
          <w:lang w:val="nl-NL"/>
        </w:rPr>
        <w:t xml:space="preserve"> inschakelen of </w:t>
      </w:r>
      <w:proofErr w:type="spellStart"/>
      <w:r w:rsidRPr="00693ACD">
        <w:rPr>
          <w:rFonts w:asciiTheme="minorHAnsi" w:hAnsiTheme="minorHAnsi" w:cstheme="minorHAnsi"/>
          <w:sz w:val="22"/>
          <w:szCs w:val="22"/>
          <w:lang w:val="nl-NL"/>
        </w:rPr>
        <w:t>cosourcing</w:t>
      </w:r>
      <w:proofErr w:type="spellEnd"/>
      <w:r w:rsidRPr="00693ACD">
        <w:rPr>
          <w:rFonts w:asciiTheme="minorHAnsi" w:hAnsiTheme="minorHAnsi" w:cstheme="minorHAnsi"/>
          <w:sz w:val="22"/>
          <w:szCs w:val="22"/>
          <w:lang w:val="nl-NL"/>
        </w:rPr>
        <w:t>.</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Internal auditors dienen alle problemen die verband houden met de middelen die aan de opdracht zijn toegekend te bespreken met de CAE. Internal auditors kunnen overwegen om de werkelijke tijd die aan de opdracht wordt besteed af te zetten tegen de begrote tijd. De oorzaken en gevolgen van een aanzienlijke overschrijding kunnen worden gedocumenteerd als een les voor toekomstige planning.</w:t>
      </w:r>
    </w:p>
    <w:p w:rsidR="002F57B5" w:rsidRPr="00693ACD" w:rsidRDefault="002F57B5" w:rsidP="002F57B5">
      <w:pPr>
        <w:pStyle w:val="TemplateHeadline"/>
        <w:rPr>
          <w:rFonts w:asciiTheme="minorHAnsi" w:hAnsiTheme="minorHAnsi" w:cstheme="minorHAnsi"/>
          <w:color w:val="000000"/>
          <w:sz w:val="22"/>
          <w:szCs w:val="22"/>
        </w:rPr>
      </w:pPr>
    </w:p>
    <w:p w:rsidR="00FE4706" w:rsidRPr="00693ACD" w:rsidRDefault="00685768" w:rsidP="002F57B5">
      <w:pPr>
        <w:pStyle w:val="TemplateHeadline"/>
        <w:rPr>
          <w:rFonts w:asciiTheme="minorHAnsi" w:hAnsiTheme="minorHAnsi" w:cstheme="minorHAnsi"/>
          <w:lang w:val="nl-NL"/>
        </w:rPr>
      </w:pPr>
      <w:r w:rsidRPr="00693ACD">
        <w:rPr>
          <w:rFonts w:asciiTheme="minorHAnsi" w:hAnsiTheme="minorHAnsi" w:cstheme="minorHAnsi"/>
          <w:lang w:val="nl-NL"/>
        </w:rPr>
        <w:t>Overwegingen b</w:t>
      </w:r>
      <w:r w:rsidR="002F57B5" w:rsidRPr="00693ACD">
        <w:rPr>
          <w:rFonts w:asciiTheme="minorHAnsi" w:hAnsiTheme="minorHAnsi" w:cstheme="minorHAnsi"/>
          <w:lang w:val="nl-NL"/>
        </w:rPr>
        <w:t>ij het aantonen van de naleving</w:t>
      </w:r>
    </w:p>
    <w:p w:rsidR="007F38EB" w:rsidRPr="00693ACD" w:rsidRDefault="007F38EB" w:rsidP="007F38EB">
      <w:pPr>
        <w:pStyle w:val="TemplateHeadline"/>
        <w:rPr>
          <w:rFonts w:asciiTheme="minorHAnsi" w:hAnsiTheme="minorHAnsi" w:cstheme="minorHAnsi"/>
          <w:color w:val="000000"/>
          <w:sz w:val="22"/>
          <w:szCs w:val="22"/>
          <w:lang w:val="nl-NL"/>
        </w:rPr>
      </w:pPr>
      <w:r w:rsidRPr="00693ACD">
        <w:rPr>
          <w:rFonts w:asciiTheme="minorHAnsi" w:hAnsiTheme="minorHAnsi" w:cstheme="minorHAnsi"/>
          <w:color w:val="000000"/>
          <w:sz w:val="22"/>
          <w:szCs w:val="22"/>
          <w:lang w:val="nl-NL"/>
        </w:rPr>
        <w:t>Documenten die naleving van Standaard 2230 kunnen aantonen, omvatten het goedgekeurde werkprogramma van de opdracht, dat doorgaans laat zien dat de internal auditfunctie passende en voldoende middelen/resources heeft gebruikt voor de opdracht, met inbegrip van medewerkers met de juiste ervaring, vaardigheden en competenties op het gebied van internal audits. De ondersteunende documentatie toont in het algemeen de verdeling van de activiteiten voor elke interne auditor, evenals de tijdlijnen die aan de opdracht zijn toegewezen.</w:t>
      </w:r>
    </w:p>
    <w:p w:rsidR="007F38EB" w:rsidRPr="00693ACD" w:rsidRDefault="007F38EB" w:rsidP="007F38EB">
      <w:pPr>
        <w:pStyle w:val="TemplateBodyText"/>
        <w:rPr>
          <w:rFonts w:asciiTheme="minorHAnsi" w:hAnsiTheme="minorHAnsi" w:cstheme="minorHAnsi"/>
          <w:sz w:val="22"/>
          <w:szCs w:val="22"/>
          <w:lang w:val="nl-NL"/>
        </w:rPr>
      </w:pPr>
      <w:r w:rsidRPr="00693ACD">
        <w:rPr>
          <w:rFonts w:asciiTheme="minorHAnsi" w:hAnsiTheme="minorHAnsi" w:cstheme="minorHAnsi"/>
          <w:sz w:val="22"/>
          <w:szCs w:val="22"/>
          <w:lang w:val="nl-NL"/>
        </w:rPr>
        <w:t xml:space="preserve">Andere documentatie die naleving van Standaard 2230 illustreert, omvat de </w:t>
      </w:r>
      <w:proofErr w:type="spellStart"/>
      <w:r w:rsidRPr="00693ACD">
        <w:rPr>
          <w:rFonts w:asciiTheme="minorHAnsi" w:hAnsiTheme="minorHAnsi" w:cstheme="minorHAnsi"/>
          <w:sz w:val="22"/>
          <w:szCs w:val="22"/>
          <w:lang w:val="nl-NL"/>
        </w:rPr>
        <w:t>planningnotities</w:t>
      </w:r>
      <w:proofErr w:type="spellEnd"/>
      <w:r w:rsidRPr="00693ACD">
        <w:rPr>
          <w:rFonts w:asciiTheme="minorHAnsi" w:hAnsiTheme="minorHAnsi" w:cstheme="minorHAnsi"/>
          <w:sz w:val="22"/>
          <w:szCs w:val="22"/>
          <w:lang w:val="nl-NL"/>
        </w:rPr>
        <w:t xml:space="preserve"> van de internal auditfunctie, waarin de technologie of andere middelen worden beschreven die in de </w:t>
      </w:r>
      <w:proofErr w:type="spellStart"/>
      <w:r w:rsidRPr="00693ACD">
        <w:rPr>
          <w:rFonts w:asciiTheme="minorHAnsi" w:hAnsiTheme="minorHAnsi" w:cstheme="minorHAnsi"/>
          <w:sz w:val="22"/>
          <w:szCs w:val="22"/>
          <w:lang w:val="nl-NL"/>
        </w:rPr>
        <w:t>planningfase</w:t>
      </w:r>
      <w:proofErr w:type="spellEnd"/>
      <w:r w:rsidRPr="00693ACD">
        <w:rPr>
          <w:rFonts w:asciiTheme="minorHAnsi" w:hAnsiTheme="minorHAnsi" w:cstheme="minorHAnsi"/>
          <w:sz w:val="22"/>
          <w:szCs w:val="22"/>
          <w:lang w:val="nl-NL"/>
        </w:rPr>
        <w:t xml:space="preserve"> van de opdracht werden overwogen. Daarnaast kunnen tijdschema's of controledocumenten die gebruikt worden om de begrote uren af te zetten tegen de werkelijke uren naleving helpen aantonen. Een post-audit klantenonderzoek naar de kwaliteit van de internal auditmiddelen en de tijdigheid van het auditrapport kunnen ook naleving helpen aantonen.</w:t>
      </w:r>
    </w:p>
    <w:p w:rsidR="00FE4706" w:rsidRPr="00693ACD" w:rsidRDefault="00FE4706" w:rsidP="002F57B5">
      <w:pPr>
        <w:pStyle w:val="TemplateHeadline"/>
        <w:rPr>
          <w:rFonts w:asciiTheme="minorHAnsi" w:hAnsiTheme="minorHAnsi" w:cstheme="minorHAnsi"/>
          <w:lang w:val="nl-NL"/>
        </w:rPr>
      </w:pPr>
    </w:p>
    <w:p w:rsidR="002F57B5" w:rsidRPr="00693ACD" w:rsidRDefault="00685768" w:rsidP="002F57B5">
      <w:pPr>
        <w:pStyle w:val="TemplateHeadline"/>
        <w:rPr>
          <w:rFonts w:asciiTheme="minorHAnsi" w:hAnsiTheme="minorHAnsi" w:cstheme="minorHAnsi"/>
          <w:lang w:val="nl-NL"/>
        </w:rPr>
      </w:pPr>
      <w:r w:rsidRPr="00693ACD">
        <w:rPr>
          <w:rFonts w:asciiTheme="minorHAnsi" w:hAnsiTheme="minorHAnsi" w:cstheme="minorHAnsi"/>
          <w:noProof/>
          <w:lang w:val="nl-NL" w:eastAsia="nl-NL"/>
        </w:rPr>
        <w:lastRenderedPageBreak/>
        <mc:AlternateContent>
          <mc:Choice Requires="wps">
            <w:drawing>
              <wp:anchor distT="457200" distB="274320" distL="114300" distR="114300" simplePos="0" relativeHeight="251660288" behindDoc="0" locked="0" layoutInCell="1" allowOverlap="1">
                <wp:simplePos x="0" y="0"/>
                <wp:positionH relativeFrom="margin">
                  <wp:align>right</wp:align>
                </wp:positionH>
                <wp:positionV relativeFrom="page">
                  <wp:posOffset>3838575</wp:posOffset>
                </wp:positionV>
                <wp:extent cx="6400800" cy="515302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6400800" cy="5153025"/>
                        </a:xfrm>
                        <a:prstGeom prst="rect">
                          <a:avLst/>
                        </a:prstGeom>
                        <a:solidFill>
                          <a:sysClr val="window" lastClr="FFFFFF">
                            <a:lumMod val="85000"/>
                          </a:sysClr>
                        </a:solid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wps:txbx>
                      <wps:bodyPr rot="0" spcFirstLastPara="0" vertOverflow="overflow" horzOverflow="overflow" vert="horz" wrap="square" lIns="182880" tIns="301752" rIns="182880" bIns="301752"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margin-left:452.8pt;margin-top:302.25pt;width:7in;height:405.75pt;z-index:251660288;visibility:visible;mso-wrap-style:square;mso-height-percent:0;mso-wrap-distance-left:9pt;mso-wrap-distance-top:36pt;mso-wrap-distance-right:9pt;mso-wrap-distance-bottom:21.6pt;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" fillcolor="#d9d9d9" stroked="f">
                <v:textbox inset="14.4pt,23.76pt,14.4pt,23.76pt">
                  <w:txbxContent>
                    <w:p w:rsidR="002F57B5" w:rsidRPr="00E6381B" w:rsidRDefault="002F57B5" w:rsidP="00685768">
                      <w:pPr>
                        <w:pStyle w:val="BoilerplateHeadline"/>
                      </w:pPr>
                      <w:r w:rsidRPr="00E6381B">
                        <w:rPr>
                          <w:lang w:val="nl-NL"/>
                        </w:rPr>
                        <w:t xml:space="preserve">Over het IIA </w:t>
                      </w:r>
                    </w:p>
                    <w:p w:rsidR="002F57B5" w:rsidRPr="001A0D5D" w:rsidRDefault="002F57B5" w:rsidP="00685768">
                      <w:pPr>
                        <w:pStyle w:val="BoilerplateBodyText"/>
                      </w:pPr>
                      <w:r w:rsidRPr="001A0D5D">
                        <w:rPr>
                          <w:lang w:val="nl-NL"/>
                        </w:rPr>
                        <w:t xml:space="preserve">Het </w:t>
                      </w:r>
                      <w:proofErr w:type="spellStart"/>
                      <w:r w:rsidRPr="001A0D5D">
                        <w:rPr>
                          <w:i/>
                          <w:iCs/>
                          <w:lang w:val="nl-NL"/>
                        </w:rPr>
                        <w:t>Institute</w:t>
                      </w:r>
                      <w:proofErr w:type="spellEnd"/>
                      <w:r w:rsidRPr="001A0D5D">
                        <w:rPr>
                          <w:i/>
                          <w:iCs/>
                          <w:lang w:val="nl-NL"/>
                        </w:rPr>
                        <w:t xml:space="preserve"> of Internal Auditors </w:t>
                      </w:r>
                      <w:r w:rsidRPr="001A0D5D">
                        <w:rPr>
                          <w:lang w:val="nl-NL"/>
                        </w:rPr>
                        <w:t>(IIA) is internationaal de meest vooraanstaande beroepsorganisatie van de internal auditors. Het instituut treedt op als belangenbehartiger, houdt zich bezig met educatie en verstrekt standaarden, richtsnoeren en certificeringen. Het IIA werd opgericht in 1941 en heeft inmiddels meer dan 180.000 leden in ruim 170 landen. Het wereldwijde hoofdkantoor van het IIA staat in de Verenigde Staten in Lake Mary, Florida. Ga voor andere informatie naar www.globaliia.org of www.theiia.org.</w:t>
                      </w:r>
                    </w:p>
                    <w:p w:rsidR="002F57B5" w:rsidRPr="00E6381B" w:rsidRDefault="002F57B5" w:rsidP="00685768">
                      <w:pPr>
                        <w:pStyle w:val="BoilerplateHeadline"/>
                      </w:pPr>
                      <w:r w:rsidRPr="00E6381B">
                        <w:rPr>
                          <w:lang w:val="nl-NL"/>
                        </w:rPr>
                        <w:t>Over de Implementatierichtlijnen</w:t>
                      </w:r>
                    </w:p>
                    <w:p w:rsidR="002F57B5" w:rsidRDefault="002F57B5" w:rsidP="00685768">
                      <w:pPr>
                        <w:autoSpaceDE w:val="0"/>
                        <w:autoSpaceDN w:val="0"/>
                        <w:adjustRightInd w:val="0"/>
                        <w:spacing w:after="180" w:line="288" w:lineRule="auto"/>
                        <w:rPr>
                          <w:rFonts w:ascii="ArialMT" w:hAnsi="ArialMT" w:cs="ArialMT"/>
                          <w:color w:val="000000"/>
                          <w:sz w:val="18"/>
                          <w:szCs w:val="18"/>
                        </w:rPr>
                      </w:pPr>
                      <w:r w:rsidRPr="00362566">
                        <w:rPr>
                          <w:rFonts w:ascii="ArialMT" w:hAnsi="ArialMT" w:cs="ArialMT"/>
                          <w:color w:val="000000"/>
                          <w:sz w:val="18"/>
                          <w:szCs w:val="18"/>
                          <w:lang w:val="nl-NL"/>
                        </w:rPr>
                        <w:t xml:space="preserve">De Implementatierichtlijnen maken deel uit van het </w:t>
                      </w:r>
                      <w:r w:rsidRPr="00362566">
                        <w:rPr>
                          <w:rFonts w:ascii="ArialMT" w:hAnsi="ArialMT" w:cs="ArialMT"/>
                          <w:i/>
                          <w:iCs/>
                          <w:color w:val="000000"/>
                          <w:sz w:val="18"/>
                          <w:szCs w:val="18"/>
                          <w:lang w:val="nl-NL"/>
                        </w:rPr>
                        <w:t xml:space="preserve">International Professional </w:t>
                      </w:r>
                      <w:proofErr w:type="spellStart"/>
                      <w:r w:rsidRPr="00362566">
                        <w:rPr>
                          <w:rFonts w:ascii="ArialMT" w:hAnsi="ArialMT" w:cs="ArialMT"/>
                          <w:i/>
                          <w:iCs/>
                          <w:color w:val="000000"/>
                          <w:sz w:val="18"/>
                          <w:szCs w:val="18"/>
                          <w:lang w:val="nl-NL"/>
                        </w:rPr>
                        <w:t>Practices</w:t>
                      </w:r>
                      <w:proofErr w:type="spellEnd"/>
                      <w:r w:rsidRPr="00362566">
                        <w:rPr>
                          <w:rFonts w:ascii="ArialMT" w:hAnsi="ArialMT" w:cs="ArialMT"/>
                          <w:i/>
                          <w:iCs/>
                          <w:color w:val="000000"/>
                          <w:sz w:val="18"/>
                          <w:szCs w:val="18"/>
                          <w:lang w:val="nl-NL"/>
                        </w:rPr>
                        <w:t xml:space="preserve"> Framework</w:t>
                      </w:r>
                      <w:r w:rsidRPr="00362566">
                        <w:rPr>
                          <w:rFonts w:ascii="ArialMT" w:hAnsi="ArialMT" w:cs="ArialMT"/>
                          <w:color w:val="000000"/>
                          <w:sz w:val="18"/>
                          <w:szCs w:val="18"/>
                          <w:lang w:val="nl-NL"/>
                        </w:rPr>
                        <w:t xml:space="preserve">® (IPPF®) van het IIA en bevatten (niet-verplichte) richtsnoeren voor het beroep van internal auditor. Doel van de Implementatierichtlijnen is ondersteuning te bieden aan internal auditors en internal auditfuncties zodat zij beter in staat zijn om de </w:t>
                      </w:r>
                      <w:r w:rsidRPr="00362566">
                        <w:rPr>
                          <w:rFonts w:ascii="ArialMT" w:hAnsi="ArialMT" w:cs="ArialMT"/>
                          <w:i/>
                          <w:iCs/>
                          <w:color w:val="000000"/>
                          <w:sz w:val="18"/>
                          <w:szCs w:val="18"/>
                          <w:lang w:val="nl-NL"/>
                        </w:rPr>
                        <w:t xml:space="preserve">International Standards </w:t>
                      </w:r>
                      <w:proofErr w:type="spellStart"/>
                      <w:r w:rsidRPr="00362566">
                        <w:rPr>
                          <w:rFonts w:ascii="ArialMT" w:hAnsi="ArialMT" w:cs="ArialMT"/>
                          <w:i/>
                          <w:iCs/>
                          <w:color w:val="000000"/>
                          <w:sz w:val="18"/>
                          <w:szCs w:val="18"/>
                          <w:lang w:val="nl-NL"/>
                        </w:rPr>
                        <w:t>for</w:t>
                      </w:r>
                      <w:proofErr w:type="spellEnd"/>
                      <w:r w:rsidRPr="00362566">
                        <w:rPr>
                          <w:rFonts w:ascii="ArialMT" w:hAnsi="ArialMT" w:cs="ArialMT"/>
                          <w:i/>
                          <w:iCs/>
                          <w:color w:val="000000"/>
                          <w:sz w:val="18"/>
                          <w:szCs w:val="18"/>
                          <w:lang w:val="nl-NL"/>
                        </w:rPr>
                        <w:t xml:space="preserve"> </w:t>
                      </w:r>
                      <w:proofErr w:type="spellStart"/>
                      <w:r w:rsidRPr="00362566">
                        <w:rPr>
                          <w:rFonts w:ascii="ArialMT" w:hAnsi="ArialMT" w:cs="ArialMT"/>
                          <w:i/>
                          <w:iCs/>
                          <w:color w:val="000000"/>
                          <w:sz w:val="18"/>
                          <w:szCs w:val="18"/>
                          <w:lang w:val="nl-NL"/>
                        </w:rPr>
                        <w:t>the</w:t>
                      </w:r>
                      <w:proofErr w:type="spellEnd"/>
                      <w:r w:rsidRPr="00362566">
                        <w:rPr>
                          <w:rFonts w:ascii="ArialMT" w:hAnsi="ArialMT" w:cs="ArialMT"/>
                          <w:i/>
                          <w:iCs/>
                          <w:color w:val="000000"/>
                          <w:sz w:val="18"/>
                          <w:szCs w:val="18"/>
                          <w:lang w:val="nl-NL"/>
                        </w:rPr>
                        <w:t xml:space="preserve"> Professional </w:t>
                      </w:r>
                      <w:proofErr w:type="spellStart"/>
                      <w:r w:rsidRPr="00362566">
                        <w:rPr>
                          <w:rFonts w:ascii="ArialMT" w:hAnsi="ArialMT" w:cs="ArialMT"/>
                          <w:i/>
                          <w:iCs/>
                          <w:color w:val="000000"/>
                          <w:sz w:val="18"/>
                          <w:szCs w:val="18"/>
                          <w:lang w:val="nl-NL"/>
                        </w:rPr>
                        <w:t>Practice</w:t>
                      </w:r>
                      <w:proofErr w:type="spellEnd"/>
                      <w:r w:rsidRPr="00362566">
                        <w:rPr>
                          <w:rFonts w:ascii="ArialMT" w:hAnsi="ArialMT" w:cs="ArialMT"/>
                          <w:i/>
                          <w:iCs/>
                          <w:color w:val="000000"/>
                          <w:sz w:val="18"/>
                          <w:szCs w:val="18"/>
                          <w:lang w:val="nl-NL"/>
                        </w:rPr>
                        <w:t xml:space="preserve"> of Internal Auditing</w:t>
                      </w:r>
                      <w:r w:rsidRPr="00362566">
                        <w:rPr>
                          <w:rFonts w:ascii="ArialMT" w:hAnsi="ArialMT" w:cs="ArialMT"/>
                          <w:color w:val="000000"/>
                          <w:sz w:val="18"/>
                          <w:szCs w:val="18"/>
                          <w:lang w:val="nl-NL"/>
                        </w:rPr>
                        <w:t xml:space="preserve"> (Standaarden) na te leven. </w:t>
                      </w:r>
                    </w:p>
                    <w:p w:rsidR="002F57B5" w:rsidRDefault="002F57B5" w:rsidP="00685768">
                      <w:pPr>
                        <w:pStyle w:val="BoilerplateBodyText"/>
                        <w:ind w:right="60"/>
                      </w:pPr>
                      <w:r w:rsidRPr="00500B34">
                        <w:rPr>
                          <w:lang w:val="nl-NL"/>
                        </w:rPr>
                        <w:t xml:space="preserve">De Implementatierichtlijnen ondersteunen internal auditors bij het toepassen van de Standaarden. De Implementatierichtlijnen beschrijven de aanpak, methodieken en overwegingen die de internal auditfunctie moet hanteren, maar gaan niet in detail in op processen of procedures. </w:t>
                      </w:r>
                    </w:p>
                    <w:p w:rsidR="002F57B5" w:rsidRDefault="002F57B5" w:rsidP="00685768">
                      <w:pPr>
                        <w:pStyle w:val="BoilerplateBodyText"/>
                        <w:ind w:right="60"/>
                      </w:pPr>
                      <w:r>
                        <w:rPr>
                          <w:lang w:val="nl-NL"/>
                        </w:rPr>
                        <w:t xml:space="preserve">Andere gezaghebbende richtlijnen van het IIA kunt u vinden op onze websites: www.globaliia.org/standards-guidance en www.theiia.org/guidance. </w:t>
                      </w:r>
                    </w:p>
                    <w:p w:rsidR="002F57B5" w:rsidRDefault="002F57B5" w:rsidP="00685768">
                      <w:pPr>
                        <w:pStyle w:val="BoilerplateHeadline"/>
                      </w:pPr>
                      <w:r>
                        <w:rPr>
                          <w:lang w:val="nl-NL"/>
                        </w:rPr>
                        <w:t>Disclaimer</w:t>
                      </w:r>
                    </w:p>
                    <w:p w:rsidR="002F57B5" w:rsidRDefault="002F57B5" w:rsidP="00685768">
                      <w:pPr>
                        <w:pStyle w:val="BoilerplateBodyText"/>
                      </w:pPr>
                      <w:r>
                        <w:rPr>
                          <w:lang w:val="nl-NL"/>
                        </w:rPr>
                        <w:t xml:space="preserve">Dit document is door het IIA gepubliceerd voor informatieve en educatieve doeleinden. Deze Richtlijnen hebben niet tot doel definitieve antwoorden te geven op specifieke individuele vragen en zijn derhalve slechts bedoeld als richtsnoer. Het IIA raadt aan om met betrekking tot een specifieke situatie altijd onafhankelijk deskundig advies ter zake in te winnen. Het IIA accepteert geen verantwoordelijkheid voor de gevolgen indien men uitsluitend afgaat op deze Richtlijnen. </w:t>
                      </w:r>
                    </w:p>
                    <w:p w:rsidR="002F57B5" w:rsidRDefault="002F57B5" w:rsidP="00685768">
                      <w:pPr>
                        <w:pStyle w:val="BoilerplateHeadline"/>
                        <w:spacing w:after="60"/>
                      </w:pPr>
                      <w:r>
                        <w:rPr>
                          <w:lang w:val="nl-NL"/>
                        </w:rPr>
                        <w:t>Auteursrecht</w:t>
                      </w:r>
                    </w:p>
                    <w:p w:rsidR="002F57B5" w:rsidRDefault="002F57B5" w:rsidP="00685768">
                      <w:pPr>
                        <w:pStyle w:val="BoilerplateBodyText"/>
                      </w:pPr>
                      <w:r>
                        <w:rPr>
                          <w:lang w:val="nl-NL"/>
                        </w:rPr>
                        <w:t>Copyright</w:t>
                      </w:r>
                      <w:r>
                        <w:rPr>
                          <w:vertAlign w:val="superscript"/>
                          <w:lang w:val="nl-NL"/>
                        </w:rPr>
                        <w:t>®</w:t>
                      </w:r>
                      <w:r>
                        <w:rPr>
                          <w:lang w:val="nl-NL"/>
                        </w:rPr>
                        <w:t xml:space="preserve"> 2016 </w:t>
                      </w:r>
                      <w:r>
                        <w:rPr>
                          <w:i/>
                          <w:iCs/>
                          <w:lang w:val="nl-NL"/>
                        </w:rPr>
                        <w:t xml:space="preserve">The </w:t>
                      </w:r>
                      <w:proofErr w:type="spellStart"/>
                      <w:r>
                        <w:rPr>
                          <w:i/>
                          <w:iCs/>
                          <w:lang w:val="nl-NL"/>
                        </w:rPr>
                        <w:t>Institute</w:t>
                      </w:r>
                      <w:proofErr w:type="spellEnd"/>
                      <w:r>
                        <w:rPr>
                          <w:i/>
                          <w:iCs/>
                          <w:lang w:val="nl-NL"/>
                        </w:rPr>
                        <w:t xml:space="preserve"> of Internal Auditors. </w:t>
                      </w:r>
                      <w:r>
                        <w:rPr>
                          <w:lang w:val="nl-NL"/>
                        </w:rPr>
                        <w:t xml:space="preserve">Toestemming voor reproductie van deze publicatie kunt u per e-mail aanvragen via guidance@theiia.org. </w:t>
                      </w:r>
                    </w:p>
                    <w:p w:rsidR="002F57B5" w:rsidRPr="00E6381B" w:rsidRDefault="002F57B5" w:rsidP="002F57B5"/>
                  </w:txbxContent>
                </v:textbox>
                <w10:wrap type="square" anchorx="margin" anchory="page"/>
              </v:shape>
            </w:pict>
          </mc:Fallback>
        </mc:AlternateContent>
      </w:r>
      <w:r w:rsidRPr="00693ACD">
        <w:rPr>
          <w:rFonts w:asciiTheme="minorHAnsi" w:hAnsiTheme="minorHAnsi" w:cstheme="minorHAnsi"/>
          <w:color w:val="000000"/>
          <w:sz w:val="24"/>
          <w:szCs w:val="24"/>
          <w:lang w:val="nl-NL"/>
        </w:rPr>
        <w:t xml:space="preserve"> </w:t>
      </w:r>
    </w:p>
    <w:sectPr w:rsidR="002F57B5" w:rsidRPr="00693ACD" w:rsidSect="002F57B5">
      <w:headerReference w:type="even" r:id="rId8"/>
      <w:headerReference w:type="default" r:id="rId9"/>
      <w:footerReference w:type="default" r:id="rId10"/>
      <w:headerReference w:type="first" r:id="rId11"/>
      <w:footerReference w:type="first" r:id="rId12"/>
      <w:pgSz w:w="12240" w:h="15840"/>
      <w:pgMar w:top="1800" w:right="1080" w:bottom="1710" w:left="108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7B5" w:rsidRDefault="002F57B5">
      <w:r>
        <w:separator/>
      </w:r>
    </w:p>
  </w:endnote>
  <w:endnote w:type="continuationSeparator" w:id="0">
    <w:p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MT">
    <w:altName w:val="Times New Roman"/>
    <w:charset w:val="00"/>
    <w:family w:val="auto"/>
    <w:pitch w:val="variable"/>
    <w:sig w:usb0="00000287" w:usb1="00000000" w:usb2="00000000" w:usb3="00000000" w:csb0="0000001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6227FD" w:rsidRDefault="002F57B5" w:rsidP="002F57B5">
    <w:pPr>
      <w:framePr w:wrap="around" w:vAnchor="text" w:hAnchor="margin" w:xAlign="center" w:y="265"/>
      <w:rPr>
        <w:rStyle w:val="Paginanummer"/>
        <w:color w:val="535953"/>
        <w:sz w:val="16"/>
        <w:szCs w:val="16"/>
      </w:rPr>
    </w:pPr>
    <w:r w:rsidRPr="006227FD">
      <w:rPr>
        <w:rStyle w:val="Paginanummer"/>
        <w:color w:val="535953"/>
        <w:sz w:val="16"/>
        <w:szCs w:val="16"/>
      </w:rPr>
      <w:fldChar w:fldCharType="begin"/>
    </w:r>
    <w:r w:rsidRPr="006227FD">
      <w:rPr>
        <w:rStyle w:val="Paginanummer"/>
        <w:color w:val="535953"/>
        <w:sz w:val="16"/>
        <w:szCs w:val="16"/>
      </w:rPr>
      <w:instrText xml:space="preserve">PAGE  </w:instrText>
    </w:r>
    <w:r w:rsidRPr="006227FD">
      <w:rPr>
        <w:rStyle w:val="Paginanummer"/>
        <w:color w:val="535953"/>
        <w:sz w:val="16"/>
        <w:szCs w:val="16"/>
      </w:rPr>
      <w:fldChar w:fldCharType="separate"/>
    </w:r>
    <w:r w:rsidR="00693ACD">
      <w:rPr>
        <w:rStyle w:val="Paginanummer"/>
        <w:noProof/>
        <w:color w:val="535953"/>
        <w:sz w:val="16"/>
        <w:szCs w:val="16"/>
      </w:rPr>
      <w:t>2</w:t>
    </w:r>
    <w:r w:rsidRPr="006227FD">
      <w:rPr>
        <w:rStyle w:val="Paginanummer"/>
        <w:color w:val="535953"/>
        <w:sz w:val="16"/>
        <w:szCs w:val="16"/>
      </w:rPr>
      <w:fldChar w:fldCharType="end"/>
    </w:r>
  </w:p>
  <w:p w:rsidR="002F57B5" w:rsidRDefault="002F57B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Pr="00893833" w:rsidRDefault="002F57B5" w:rsidP="002F57B5">
    <w:pPr>
      <w:framePr w:wrap="around" w:vAnchor="text" w:hAnchor="page" w:x="6071" w:y="277"/>
      <w:rPr>
        <w:rStyle w:val="Paginanummer"/>
        <w:color w:val="535953"/>
        <w:sz w:val="16"/>
        <w:szCs w:val="16"/>
      </w:rPr>
    </w:pPr>
    <w:r>
      <w:rPr>
        <w:rStyle w:val="Paginanummer"/>
        <w:lang w:val="nl-NL"/>
      </w:rPr>
      <w:t xml:space="preserve"> </w:t>
    </w:r>
    <w:r w:rsidRPr="00893833">
      <w:rPr>
        <w:rStyle w:val="Paginanummer"/>
        <w:color w:val="535953"/>
        <w:sz w:val="16"/>
        <w:szCs w:val="16"/>
      </w:rPr>
      <w:fldChar w:fldCharType="begin"/>
    </w:r>
    <w:r w:rsidRPr="00893833">
      <w:rPr>
        <w:rStyle w:val="Paginanummer"/>
        <w:color w:val="535953"/>
        <w:sz w:val="16"/>
        <w:szCs w:val="16"/>
      </w:rPr>
      <w:instrText xml:space="preserve">PAGE  </w:instrText>
    </w:r>
    <w:r w:rsidRPr="00893833">
      <w:rPr>
        <w:rStyle w:val="Paginanummer"/>
        <w:color w:val="535953"/>
        <w:sz w:val="16"/>
        <w:szCs w:val="16"/>
      </w:rPr>
      <w:fldChar w:fldCharType="separate"/>
    </w:r>
    <w:r w:rsidR="00693ACD">
      <w:rPr>
        <w:rStyle w:val="Paginanummer"/>
        <w:noProof/>
        <w:color w:val="535953"/>
        <w:sz w:val="16"/>
        <w:szCs w:val="16"/>
      </w:rPr>
      <w:t>1</w:t>
    </w:r>
    <w:r w:rsidRPr="00893833">
      <w:rPr>
        <w:rStyle w:val="Paginanummer"/>
        <w:color w:val="535953"/>
        <w:sz w:val="16"/>
        <w:szCs w:val="16"/>
      </w:rPr>
      <w:fldChar w:fldCharType="end"/>
    </w:r>
  </w:p>
  <w:p w:rsidR="002F57B5" w:rsidRDefault="002F57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7B5" w:rsidRDefault="002F57B5">
      <w:r>
        <w:separator/>
      </w:r>
    </w:p>
  </w:footnote>
  <w:footnote w:type="continuationSeparator" w:id="0">
    <w:p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sidP="002F57B5">
    <w:pPr>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F57B5" w:rsidRDefault="002F57B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mc:AlternateContent>
        <mc:Choice Requires="wps">
          <w:drawing>
            <wp:anchor distT="0" distB="0" distL="114300" distR="114300" simplePos="0" relativeHeight="251659264" behindDoc="0" locked="0" layoutInCell="1" allowOverlap="1">
              <wp:simplePos x="0" y="0"/>
              <wp:positionH relativeFrom="page">
                <wp:posOffset>914400</wp:posOffset>
              </wp:positionH>
              <wp:positionV relativeFrom="page">
                <wp:posOffset>610870</wp:posOffset>
              </wp:positionV>
              <wp:extent cx="6172200" cy="284480"/>
              <wp:effectExtent l="0" t="0" r="0" b="0"/>
              <wp:wrapThrough wrapText="bothSides">
                <wp:wrapPolygon edited="0">
                  <wp:start x="89" y="0"/>
                  <wp:lineTo x="89" y="19286"/>
                  <wp:lineTo x="21422" y="19286"/>
                  <wp:lineTo x="21422" y="0"/>
                  <wp:lineTo x="89" y="0"/>
                </wp:wrapPolygon>
              </wp:wrapThrough>
              <wp:docPr id="3" name="Text Box 3"/>
              <wp:cNvGraphicFramePr/>
              <a:graphic xmlns:a="http://schemas.openxmlformats.org/drawingml/2006/main">
                <a:graphicData uri="http://schemas.microsoft.com/office/word/2010/wordprocessingShape">
                  <wps:wsp>
                    <wps:cNvSpPr txBox="1"/>
                    <wps:spPr>
                      <a:xfrm>
                        <a:off x="0" y="0"/>
                        <a:ext cx="6172200" cy="284480"/>
                      </a:xfrm>
                      <a:prstGeom prst="rect">
                        <a:avLst/>
                      </a:prstGeom>
                      <a:noFill/>
                      <a:ln>
                        <a:no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693ACD">
                            <w:rPr>
                              <w:rFonts w:ascii="Arial" w:hAnsi="Arial" w:cs="Arial"/>
                              <w:color w:val="0F1F4B"/>
                              <w:lang w:val="nl-NL"/>
                            </w:rPr>
                            <w:t>2230 -</w:t>
                          </w:r>
                          <w:r w:rsidR="00677622" w:rsidRPr="00677622">
                            <w:rPr>
                              <w:rFonts w:ascii="Arial" w:hAnsi="Arial" w:cs="Arial"/>
                              <w:color w:val="0F1F4B"/>
                              <w:lang w:val="nl-NL"/>
                            </w:rPr>
                            <w:t xml:space="preserve"> Toewijzing van middelen aan de opdracht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in;margin-top:48.1pt;width:486pt;height:22.4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" filled="f" stroked="f">
              <v:textbox>
                <w:txbxContent>
                  <w:p w:rsidR="002F57B5" w:rsidRPr="006227FD" w:rsidRDefault="002F57B5">
                    <w:pPr>
                      <w:rPr>
                        <w:rFonts w:ascii="Arial" w:hAnsi="Arial" w:cs="Arial"/>
                        <w:color w:val="002239" w:themeColor="text2" w:themeShade="80"/>
                      </w:rPr>
                    </w:pPr>
                    <w:r>
                      <w:rPr>
                        <w:rFonts w:ascii="Arial" w:hAnsi="Arial" w:cs="Arial"/>
                        <w:color w:val="0F1F4B"/>
                        <w:lang w:val="nl-NL"/>
                      </w:rPr>
                      <w:t xml:space="preserve">Implementatierichtlijn </w:t>
                    </w:r>
                    <w:r w:rsidR="00693ACD">
                      <w:rPr>
                        <w:rFonts w:ascii="Arial" w:hAnsi="Arial" w:cs="Arial"/>
                        <w:color w:val="0F1F4B"/>
                        <w:lang w:val="nl-NL"/>
                      </w:rPr>
                      <w:t>2230 -</w:t>
                    </w:r>
                    <w:r w:rsidR="00677622" w:rsidRPr="00677622">
                      <w:rPr>
                        <w:rFonts w:ascii="Arial" w:hAnsi="Arial" w:cs="Arial"/>
                        <w:color w:val="0F1F4B"/>
                        <w:lang w:val="nl-NL"/>
                      </w:rPr>
                      <w:t xml:space="preserve"> Toewijzing van middelen aan de opdracht</w:t>
                    </w:r>
                  </w:p>
                </w:txbxContent>
              </v:textbox>
              <w10:wrap type="through" anchorx="page" anchory="page"/>
            </v:shape>
          </w:pict>
        </mc:Fallback>
      </mc:AlternateContent>
    </w:r>
    <w:r>
      <w:rPr>
        <w:noProof/>
        <w:lang w:val="nl-NL"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61448"/>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Page copy.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B5" w:rsidRDefault="002F57B5">
    <w:r>
      <w:rPr>
        <w:noProof/>
        <w:lang w:val="nl-NL" w:eastAsia="nl-NL"/>
      </w:rPr>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61448"/>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61448"/>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CB7"/>
    <w:multiLevelType w:val="hybridMultilevel"/>
    <w:tmpl w:val="AE581550"/>
    <w:lvl w:ilvl="0" w:tplc="AE9E6CB6">
      <w:start w:val="1"/>
      <w:numFmt w:val="bullet"/>
      <w:lvlText w:val=""/>
      <w:lvlJc w:val="left"/>
      <w:pPr>
        <w:ind w:left="720" w:hanging="360"/>
      </w:pPr>
      <w:rPr>
        <w:rFonts w:ascii="Symbol" w:hAnsi="Symbol" w:hint="default"/>
      </w:rPr>
    </w:lvl>
    <w:lvl w:ilvl="1" w:tplc="F0ACA0F0" w:tentative="1">
      <w:start w:val="1"/>
      <w:numFmt w:val="bullet"/>
      <w:lvlText w:val="o"/>
      <w:lvlJc w:val="left"/>
      <w:pPr>
        <w:ind w:left="1440" w:hanging="360"/>
      </w:pPr>
      <w:rPr>
        <w:rFonts w:ascii="Courier New" w:hAnsi="Courier New" w:cs="Courier New" w:hint="default"/>
      </w:rPr>
    </w:lvl>
    <w:lvl w:ilvl="2" w:tplc="B32E9A76" w:tentative="1">
      <w:start w:val="1"/>
      <w:numFmt w:val="bullet"/>
      <w:lvlText w:val=""/>
      <w:lvlJc w:val="left"/>
      <w:pPr>
        <w:ind w:left="2160" w:hanging="360"/>
      </w:pPr>
      <w:rPr>
        <w:rFonts w:ascii="Wingdings" w:hAnsi="Wingdings" w:hint="default"/>
      </w:rPr>
    </w:lvl>
    <w:lvl w:ilvl="3" w:tplc="47923B10" w:tentative="1">
      <w:start w:val="1"/>
      <w:numFmt w:val="bullet"/>
      <w:lvlText w:val=""/>
      <w:lvlJc w:val="left"/>
      <w:pPr>
        <w:ind w:left="2880" w:hanging="360"/>
      </w:pPr>
      <w:rPr>
        <w:rFonts w:ascii="Symbol" w:hAnsi="Symbol" w:hint="default"/>
      </w:rPr>
    </w:lvl>
    <w:lvl w:ilvl="4" w:tplc="3854595C" w:tentative="1">
      <w:start w:val="1"/>
      <w:numFmt w:val="bullet"/>
      <w:lvlText w:val="o"/>
      <w:lvlJc w:val="left"/>
      <w:pPr>
        <w:ind w:left="3600" w:hanging="360"/>
      </w:pPr>
      <w:rPr>
        <w:rFonts w:ascii="Courier New" w:hAnsi="Courier New" w:cs="Courier New" w:hint="default"/>
      </w:rPr>
    </w:lvl>
    <w:lvl w:ilvl="5" w:tplc="8B6AFBFE" w:tentative="1">
      <w:start w:val="1"/>
      <w:numFmt w:val="bullet"/>
      <w:lvlText w:val=""/>
      <w:lvlJc w:val="left"/>
      <w:pPr>
        <w:ind w:left="4320" w:hanging="360"/>
      </w:pPr>
      <w:rPr>
        <w:rFonts w:ascii="Wingdings" w:hAnsi="Wingdings" w:hint="default"/>
      </w:rPr>
    </w:lvl>
    <w:lvl w:ilvl="6" w:tplc="FC829454" w:tentative="1">
      <w:start w:val="1"/>
      <w:numFmt w:val="bullet"/>
      <w:lvlText w:val=""/>
      <w:lvlJc w:val="left"/>
      <w:pPr>
        <w:ind w:left="5040" w:hanging="360"/>
      </w:pPr>
      <w:rPr>
        <w:rFonts w:ascii="Symbol" w:hAnsi="Symbol" w:hint="default"/>
      </w:rPr>
    </w:lvl>
    <w:lvl w:ilvl="7" w:tplc="E626E95E" w:tentative="1">
      <w:start w:val="1"/>
      <w:numFmt w:val="bullet"/>
      <w:lvlText w:val="o"/>
      <w:lvlJc w:val="left"/>
      <w:pPr>
        <w:ind w:left="5760" w:hanging="360"/>
      </w:pPr>
      <w:rPr>
        <w:rFonts w:ascii="Courier New" w:hAnsi="Courier New" w:cs="Courier New" w:hint="default"/>
      </w:rPr>
    </w:lvl>
    <w:lvl w:ilvl="8" w:tplc="7CC61D2A" w:tentative="1">
      <w:start w:val="1"/>
      <w:numFmt w:val="bullet"/>
      <w:lvlText w:val=""/>
      <w:lvlJc w:val="left"/>
      <w:pPr>
        <w:ind w:left="6480" w:hanging="360"/>
      </w:pPr>
      <w:rPr>
        <w:rFonts w:ascii="Wingdings" w:hAnsi="Wingdings" w:hint="default"/>
      </w:rPr>
    </w:lvl>
  </w:abstractNum>
  <w:abstractNum w:abstractNumId="1" w15:restartNumberingAfterBreak="0">
    <w:nsid w:val="0677467A"/>
    <w:multiLevelType w:val="hybridMultilevel"/>
    <w:tmpl w:val="F3B643AE"/>
    <w:lvl w:ilvl="0" w:tplc="F10C223A">
      <w:start w:val="1"/>
      <w:numFmt w:val="bullet"/>
      <w:lvlText w:val=""/>
      <w:lvlJc w:val="left"/>
      <w:pPr>
        <w:tabs>
          <w:tab w:val="num" w:pos="1440"/>
        </w:tabs>
        <w:ind w:left="1440" w:hanging="360"/>
      </w:pPr>
      <w:rPr>
        <w:rFonts w:ascii="Symbol" w:hAnsi="Symbol" w:hint="default"/>
        <w:color w:val="000000"/>
        <w:spacing w:val="8"/>
      </w:rPr>
    </w:lvl>
    <w:lvl w:ilvl="1" w:tplc="6BE48174" w:tentative="1">
      <w:start w:val="1"/>
      <w:numFmt w:val="bullet"/>
      <w:lvlText w:val="o"/>
      <w:lvlJc w:val="left"/>
      <w:pPr>
        <w:tabs>
          <w:tab w:val="num" w:pos="2160"/>
        </w:tabs>
        <w:ind w:left="2160" w:hanging="360"/>
      </w:pPr>
      <w:rPr>
        <w:rFonts w:ascii="Courier New" w:hAnsi="Courier New" w:cs="Courier New" w:hint="default"/>
      </w:rPr>
    </w:lvl>
    <w:lvl w:ilvl="2" w:tplc="A6D4B852" w:tentative="1">
      <w:start w:val="1"/>
      <w:numFmt w:val="bullet"/>
      <w:lvlText w:val=""/>
      <w:lvlJc w:val="left"/>
      <w:pPr>
        <w:tabs>
          <w:tab w:val="num" w:pos="2880"/>
        </w:tabs>
        <w:ind w:left="2880" w:hanging="360"/>
      </w:pPr>
      <w:rPr>
        <w:rFonts w:ascii="Wingdings" w:hAnsi="Wingdings" w:hint="default"/>
      </w:rPr>
    </w:lvl>
    <w:lvl w:ilvl="3" w:tplc="B566A530" w:tentative="1">
      <w:start w:val="1"/>
      <w:numFmt w:val="bullet"/>
      <w:lvlText w:val=""/>
      <w:lvlJc w:val="left"/>
      <w:pPr>
        <w:tabs>
          <w:tab w:val="num" w:pos="3600"/>
        </w:tabs>
        <w:ind w:left="3600" w:hanging="360"/>
      </w:pPr>
      <w:rPr>
        <w:rFonts w:ascii="Symbol" w:hAnsi="Symbol" w:hint="default"/>
      </w:rPr>
    </w:lvl>
    <w:lvl w:ilvl="4" w:tplc="8A904F76" w:tentative="1">
      <w:start w:val="1"/>
      <w:numFmt w:val="bullet"/>
      <w:lvlText w:val="o"/>
      <w:lvlJc w:val="left"/>
      <w:pPr>
        <w:tabs>
          <w:tab w:val="num" w:pos="4320"/>
        </w:tabs>
        <w:ind w:left="4320" w:hanging="360"/>
      </w:pPr>
      <w:rPr>
        <w:rFonts w:ascii="Courier New" w:hAnsi="Courier New" w:cs="Courier New" w:hint="default"/>
      </w:rPr>
    </w:lvl>
    <w:lvl w:ilvl="5" w:tplc="B1CC6104" w:tentative="1">
      <w:start w:val="1"/>
      <w:numFmt w:val="bullet"/>
      <w:lvlText w:val=""/>
      <w:lvlJc w:val="left"/>
      <w:pPr>
        <w:tabs>
          <w:tab w:val="num" w:pos="5040"/>
        </w:tabs>
        <w:ind w:left="5040" w:hanging="360"/>
      </w:pPr>
      <w:rPr>
        <w:rFonts w:ascii="Wingdings" w:hAnsi="Wingdings" w:hint="default"/>
      </w:rPr>
    </w:lvl>
    <w:lvl w:ilvl="6" w:tplc="5A943490" w:tentative="1">
      <w:start w:val="1"/>
      <w:numFmt w:val="bullet"/>
      <w:lvlText w:val=""/>
      <w:lvlJc w:val="left"/>
      <w:pPr>
        <w:tabs>
          <w:tab w:val="num" w:pos="5760"/>
        </w:tabs>
        <w:ind w:left="5760" w:hanging="360"/>
      </w:pPr>
      <w:rPr>
        <w:rFonts w:ascii="Symbol" w:hAnsi="Symbol" w:hint="default"/>
      </w:rPr>
    </w:lvl>
    <w:lvl w:ilvl="7" w:tplc="CDA4970C" w:tentative="1">
      <w:start w:val="1"/>
      <w:numFmt w:val="bullet"/>
      <w:lvlText w:val="o"/>
      <w:lvlJc w:val="left"/>
      <w:pPr>
        <w:tabs>
          <w:tab w:val="num" w:pos="6480"/>
        </w:tabs>
        <w:ind w:left="6480" w:hanging="360"/>
      </w:pPr>
      <w:rPr>
        <w:rFonts w:ascii="Courier New" w:hAnsi="Courier New" w:cs="Courier New" w:hint="default"/>
      </w:rPr>
    </w:lvl>
    <w:lvl w:ilvl="8" w:tplc="1038A98C"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D4A6306"/>
    <w:multiLevelType w:val="hybridMultilevel"/>
    <w:tmpl w:val="36D85A0C"/>
    <w:lvl w:ilvl="0" w:tplc="8526990C">
      <w:start w:val="1"/>
      <w:numFmt w:val="bullet"/>
      <w:lvlText w:val=""/>
      <w:lvlJc w:val="left"/>
      <w:pPr>
        <w:ind w:left="990" w:hanging="360"/>
      </w:pPr>
      <w:rPr>
        <w:rFonts w:ascii="Symbol" w:hAnsi="Symbol" w:hint="default"/>
        <w:color w:val="D32E30" w:themeColor="accent2"/>
      </w:rPr>
    </w:lvl>
    <w:lvl w:ilvl="1" w:tplc="D9E6D0E4" w:tentative="1">
      <w:start w:val="1"/>
      <w:numFmt w:val="bullet"/>
      <w:lvlText w:val="o"/>
      <w:lvlJc w:val="left"/>
      <w:pPr>
        <w:ind w:left="1710" w:hanging="360"/>
      </w:pPr>
      <w:rPr>
        <w:rFonts w:ascii="Courier New" w:hAnsi="Courier New" w:hint="default"/>
      </w:rPr>
    </w:lvl>
    <w:lvl w:ilvl="2" w:tplc="6CBA750C" w:tentative="1">
      <w:start w:val="1"/>
      <w:numFmt w:val="bullet"/>
      <w:lvlText w:val=""/>
      <w:lvlJc w:val="left"/>
      <w:pPr>
        <w:ind w:left="2430" w:hanging="360"/>
      </w:pPr>
      <w:rPr>
        <w:rFonts w:ascii="Wingdings" w:hAnsi="Wingdings" w:hint="default"/>
      </w:rPr>
    </w:lvl>
    <w:lvl w:ilvl="3" w:tplc="CBF89618" w:tentative="1">
      <w:start w:val="1"/>
      <w:numFmt w:val="bullet"/>
      <w:lvlText w:val=""/>
      <w:lvlJc w:val="left"/>
      <w:pPr>
        <w:ind w:left="3150" w:hanging="360"/>
      </w:pPr>
      <w:rPr>
        <w:rFonts w:ascii="Symbol" w:hAnsi="Symbol" w:hint="default"/>
      </w:rPr>
    </w:lvl>
    <w:lvl w:ilvl="4" w:tplc="97AABB4C" w:tentative="1">
      <w:start w:val="1"/>
      <w:numFmt w:val="bullet"/>
      <w:lvlText w:val="o"/>
      <w:lvlJc w:val="left"/>
      <w:pPr>
        <w:ind w:left="3870" w:hanging="360"/>
      </w:pPr>
      <w:rPr>
        <w:rFonts w:ascii="Courier New" w:hAnsi="Courier New" w:hint="default"/>
      </w:rPr>
    </w:lvl>
    <w:lvl w:ilvl="5" w:tplc="E7AEB53A" w:tentative="1">
      <w:start w:val="1"/>
      <w:numFmt w:val="bullet"/>
      <w:lvlText w:val=""/>
      <w:lvlJc w:val="left"/>
      <w:pPr>
        <w:ind w:left="4590" w:hanging="360"/>
      </w:pPr>
      <w:rPr>
        <w:rFonts w:ascii="Wingdings" w:hAnsi="Wingdings" w:hint="default"/>
      </w:rPr>
    </w:lvl>
    <w:lvl w:ilvl="6" w:tplc="F5F09510" w:tentative="1">
      <w:start w:val="1"/>
      <w:numFmt w:val="bullet"/>
      <w:lvlText w:val=""/>
      <w:lvlJc w:val="left"/>
      <w:pPr>
        <w:ind w:left="5310" w:hanging="360"/>
      </w:pPr>
      <w:rPr>
        <w:rFonts w:ascii="Symbol" w:hAnsi="Symbol" w:hint="default"/>
      </w:rPr>
    </w:lvl>
    <w:lvl w:ilvl="7" w:tplc="0922AAD6" w:tentative="1">
      <w:start w:val="1"/>
      <w:numFmt w:val="bullet"/>
      <w:lvlText w:val="o"/>
      <w:lvlJc w:val="left"/>
      <w:pPr>
        <w:ind w:left="6030" w:hanging="360"/>
      </w:pPr>
      <w:rPr>
        <w:rFonts w:ascii="Courier New" w:hAnsi="Courier New" w:hint="default"/>
      </w:rPr>
    </w:lvl>
    <w:lvl w:ilvl="8" w:tplc="6BC4CB10" w:tentative="1">
      <w:start w:val="1"/>
      <w:numFmt w:val="bullet"/>
      <w:lvlText w:val=""/>
      <w:lvlJc w:val="left"/>
      <w:pPr>
        <w:ind w:left="6750" w:hanging="360"/>
      </w:pPr>
      <w:rPr>
        <w:rFonts w:ascii="Wingdings" w:hAnsi="Wingdings" w:hint="default"/>
      </w:rPr>
    </w:lvl>
  </w:abstractNum>
  <w:abstractNum w:abstractNumId="3" w15:restartNumberingAfterBreak="0">
    <w:nsid w:val="25F42B3A"/>
    <w:multiLevelType w:val="hybridMultilevel"/>
    <w:tmpl w:val="E31EAF06"/>
    <w:lvl w:ilvl="0" w:tplc="055298DA">
      <w:start w:val="1"/>
      <w:numFmt w:val="bullet"/>
      <w:pStyle w:val="RedBullets"/>
      <w:lvlText w:val=""/>
      <w:lvlJc w:val="left"/>
      <w:pPr>
        <w:ind w:left="994" w:hanging="360"/>
      </w:pPr>
      <w:rPr>
        <w:rFonts w:ascii="Symbol" w:hAnsi="Symbol" w:hint="default"/>
        <w:color w:val="D32E30" w:themeColor="accent2"/>
      </w:rPr>
    </w:lvl>
    <w:lvl w:ilvl="1" w:tplc="621E7BA2">
      <w:start w:val="1"/>
      <w:numFmt w:val="bullet"/>
      <w:lvlText w:val="o"/>
      <w:lvlJc w:val="left"/>
      <w:pPr>
        <w:ind w:left="1714" w:hanging="360"/>
      </w:pPr>
      <w:rPr>
        <w:rFonts w:ascii="Courier New" w:hAnsi="Courier New" w:hint="default"/>
      </w:rPr>
    </w:lvl>
    <w:lvl w:ilvl="2" w:tplc="7E22767C" w:tentative="1">
      <w:start w:val="1"/>
      <w:numFmt w:val="bullet"/>
      <w:lvlText w:val=""/>
      <w:lvlJc w:val="left"/>
      <w:pPr>
        <w:ind w:left="2434" w:hanging="360"/>
      </w:pPr>
      <w:rPr>
        <w:rFonts w:ascii="Wingdings" w:hAnsi="Wingdings" w:hint="default"/>
      </w:rPr>
    </w:lvl>
    <w:lvl w:ilvl="3" w:tplc="EF2CF742" w:tentative="1">
      <w:start w:val="1"/>
      <w:numFmt w:val="bullet"/>
      <w:lvlText w:val=""/>
      <w:lvlJc w:val="left"/>
      <w:pPr>
        <w:ind w:left="3154" w:hanging="360"/>
      </w:pPr>
      <w:rPr>
        <w:rFonts w:ascii="Symbol" w:hAnsi="Symbol" w:hint="default"/>
      </w:rPr>
    </w:lvl>
    <w:lvl w:ilvl="4" w:tplc="4E28C6E8" w:tentative="1">
      <w:start w:val="1"/>
      <w:numFmt w:val="bullet"/>
      <w:lvlText w:val="o"/>
      <w:lvlJc w:val="left"/>
      <w:pPr>
        <w:ind w:left="3874" w:hanging="360"/>
      </w:pPr>
      <w:rPr>
        <w:rFonts w:ascii="Courier New" w:hAnsi="Courier New" w:hint="default"/>
      </w:rPr>
    </w:lvl>
    <w:lvl w:ilvl="5" w:tplc="5DE48358" w:tentative="1">
      <w:start w:val="1"/>
      <w:numFmt w:val="bullet"/>
      <w:lvlText w:val=""/>
      <w:lvlJc w:val="left"/>
      <w:pPr>
        <w:ind w:left="4594" w:hanging="360"/>
      </w:pPr>
      <w:rPr>
        <w:rFonts w:ascii="Wingdings" w:hAnsi="Wingdings" w:hint="default"/>
      </w:rPr>
    </w:lvl>
    <w:lvl w:ilvl="6" w:tplc="38FA1802" w:tentative="1">
      <w:start w:val="1"/>
      <w:numFmt w:val="bullet"/>
      <w:lvlText w:val=""/>
      <w:lvlJc w:val="left"/>
      <w:pPr>
        <w:ind w:left="5314" w:hanging="360"/>
      </w:pPr>
      <w:rPr>
        <w:rFonts w:ascii="Symbol" w:hAnsi="Symbol" w:hint="default"/>
      </w:rPr>
    </w:lvl>
    <w:lvl w:ilvl="7" w:tplc="7E0E749E" w:tentative="1">
      <w:start w:val="1"/>
      <w:numFmt w:val="bullet"/>
      <w:lvlText w:val="o"/>
      <w:lvlJc w:val="left"/>
      <w:pPr>
        <w:ind w:left="6034" w:hanging="360"/>
      </w:pPr>
      <w:rPr>
        <w:rFonts w:ascii="Courier New" w:hAnsi="Courier New" w:hint="default"/>
      </w:rPr>
    </w:lvl>
    <w:lvl w:ilvl="8" w:tplc="39783008" w:tentative="1">
      <w:start w:val="1"/>
      <w:numFmt w:val="bullet"/>
      <w:lvlText w:val=""/>
      <w:lvlJc w:val="left"/>
      <w:pPr>
        <w:ind w:left="6754" w:hanging="360"/>
      </w:pPr>
      <w:rPr>
        <w:rFonts w:ascii="Wingdings" w:hAnsi="Wingdings" w:hint="default"/>
      </w:rPr>
    </w:lvl>
  </w:abstractNum>
  <w:abstractNum w:abstractNumId="4" w15:restartNumberingAfterBreak="0">
    <w:nsid w:val="327E59D3"/>
    <w:multiLevelType w:val="hybridMultilevel"/>
    <w:tmpl w:val="97D2F3F4"/>
    <w:lvl w:ilvl="0" w:tplc="6C72D0A4">
      <w:start w:val="1"/>
      <w:numFmt w:val="bullet"/>
      <w:lvlText w:val=""/>
      <w:lvlJc w:val="left"/>
      <w:pPr>
        <w:ind w:left="720" w:hanging="360"/>
      </w:pPr>
      <w:rPr>
        <w:rFonts w:ascii="Symbol" w:hAnsi="Symbol" w:hint="default"/>
        <w:color w:val="D32E30" w:themeColor="accent2"/>
      </w:rPr>
    </w:lvl>
    <w:lvl w:ilvl="1" w:tplc="D6ECB022" w:tentative="1">
      <w:start w:val="1"/>
      <w:numFmt w:val="bullet"/>
      <w:lvlText w:val="o"/>
      <w:lvlJc w:val="left"/>
      <w:pPr>
        <w:ind w:left="1170" w:hanging="360"/>
      </w:pPr>
      <w:rPr>
        <w:rFonts w:ascii="Courier New" w:hAnsi="Courier New" w:hint="default"/>
      </w:rPr>
    </w:lvl>
    <w:lvl w:ilvl="2" w:tplc="AC966F80" w:tentative="1">
      <w:start w:val="1"/>
      <w:numFmt w:val="bullet"/>
      <w:lvlText w:val=""/>
      <w:lvlJc w:val="left"/>
      <w:pPr>
        <w:ind w:left="1890" w:hanging="360"/>
      </w:pPr>
      <w:rPr>
        <w:rFonts w:ascii="Wingdings" w:hAnsi="Wingdings" w:hint="default"/>
      </w:rPr>
    </w:lvl>
    <w:lvl w:ilvl="3" w:tplc="F1446828" w:tentative="1">
      <w:start w:val="1"/>
      <w:numFmt w:val="bullet"/>
      <w:lvlText w:val=""/>
      <w:lvlJc w:val="left"/>
      <w:pPr>
        <w:ind w:left="2610" w:hanging="360"/>
      </w:pPr>
      <w:rPr>
        <w:rFonts w:ascii="Symbol" w:hAnsi="Symbol" w:hint="default"/>
      </w:rPr>
    </w:lvl>
    <w:lvl w:ilvl="4" w:tplc="56B25782" w:tentative="1">
      <w:start w:val="1"/>
      <w:numFmt w:val="bullet"/>
      <w:lvlText w:val="o"/>
      <w:lvlJc w:val="left"/>
      <w:pPr>
        <w:ind w:left="3330" w:hanging="360"/>
      </w:pPr>
      <w:rPr>
        <w:rFonts w:ascii="Courier New" w:hAnsi="Courier New" w:hint="default"/>
      </w:rPr>
    </w:lvl>
    <w:lvl w:ilvl="5" w:tplc="7AEC16F8" w:tentative="1">
      <w:start w:val="1"/>
      <w:numFmt w:val="bullet"/>
      <w:lvlText w:val=""/>
      <w:lvlJc w:val="left"/>
      <w:pPr>
        <w:ind w:left="4050" w:hanging="360"/>
      </w:pPr>
      <w:rPr>
        <w:rFonts w:ascii="Wingdings" w:hAnsi="Wingdings" w:hint="default"/>
      </w:rPr>
    </w:lvl>
    <w:lvl w:ilvl="6" w:tplc="A4E2FD96" w:tentative="1">
      <w:start w:val="1"/>
      <w:numFmt w:val="bullet"/>
      <w:lvlText w:val=""/>
      <w:lvlJc w:val="left"/>
      <w:pPr>
        <w:ind w:left="4770" w:hanging="360"/>
      </w:pPr>
      <w:rPr>
        <w:rFonts w:ascii="Symbol" w:hAnsi="Symbol" w:hint="default"/>
      </w:rPr>
    </w:lvl>
    <w:lvl w:ilvl="7" w:tplc="2A50A19E" w:tentative="1">
      <w:start w:val="1"/>
      <w:numFmt w:val="bullet"/>
      <w:lvlText w:val="o"/>
      <w:lvlJc w:val="left"/>
      <w:pPr>
        <w:ind w:left="5490" w:hanging="360"/>
      </w:pPr>
      <w:rPr>
        <w:rFonts w:ascii="Courier New" w:hAnsi="Courier New" w:hint="default"/>
      </w:rPr>
    </w:lvl>
    <w:lvl w:ilvl="8" w:tplc="AF32A1B8" w:tentative="1">
      <w:start w:val="1"/>
      <w:numFmt w:val="bullet"/>
      <w:lvlText w:val=""/>
      <w:lvlJc w:val="left"/>
      <w:pPr>
        <w:ind w:left="621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685768"/>
    <w:rsid w:val="00284E07"/>
    <w:rsid w:val="002D7B1A"/>
    <w:rsid w:val="002F57B5"/>
    <w:rsid w:val="005C501B"/>
    <w:rsid w:val="00677622"/>
    <w:rsid w:val="00685768"/>
    <w:rsid w:val="00693ACD"/>
    <w:rsid w:val="007F38EB"/>
    <w:rsid w:val="00963DFA"/>
    <w:rsid w:val="009C730B"/>
    <w:rsid w:val="00B9149D"/>
    <w:rsid w:val="00C6368B"/>
    <w:rsid w:val="00E269AE"/>
    <w:rsid w:val="00FE470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9E951A-2DB5-4445-AEA3-CB4D3666D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10A1B"/>
  </w:style>
  <w:style w:type="paragraph" w:styleId="Kop1">
    <w:name w:val="heading 1"/>
    <w:basedOn w:val="Standaard"/>
    <w:next w:val="Standaard"/>
    <w:link w:val="Kop1Char"/>
    <w:uiPriority w:val="9"/>
    <w:qFormat/>
    <w:rsid w:val="006227FD"/>
    <w:pPr>
      <w:keepNext/>
      <w:keepLines/>
      <w:spacing w:before="480"/>
      <w:outlineLvl w:val="0"/>
    </w:pPr>
    <w:rPr>
      <w:rFonts w:asciiTheme="majorHAnsi" w:eastAsiaTheme="majorEastAsia" w:hAnsiTheme="majorHAnsi" w:cstheme="majorBidi"/>
      <w:b/>
      <w:bCs/>
      <w:color w:val="00658D"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27FD"/>
    <w:rPr>
      <w:rFonts w:asciiTheme="majorHAnsi" w:eastAsiaTheme="majorEastAsia" w:hAnsiTheme="majorHAnsi" w:cstheme="majorBidi"/>
      <w:b/>
      <w:bCs/>
      <w:color w:val="00658D" w:themeColor="accent1" w:themeShade="B5"/>
      <w:sz w:val="32"/>
      <w:szCs w:val="32"/>
    </w:rPr>
  </w:style>
  <w:style w:type="character" w:styleId="Paginanummer">
    <w:name w:val="page number"/>
    <w:basedOn w:val="Standaardalinea-lettertype"/>
    <w:uiPriority w:val="99"/>
    <w:semiHidden/>
    <w:unhideWhenUsed/>
    <w:rsid w:val="006227FD"/>
  </w:style>
  <w:style w:type="paragraph" w:customStyle="1" w:styleId="TemplateHeadline">
    <w:name w:val="Template Headline"/>
    <w:basedOn w:val="Plattetekst"/>
    <w:uiPriority w:val="99"/>
    <w:rsid w:val="00893833"/>
    <w:pPr>
      <w:widowControl w:val="0"/>
      <w:autoSpaceDE w:val="0"/>
      <w:autoSpaceDN w:val="0"/>
      <w:adjustRightInd w:val="0"/>
      <w:spacing w:after="180" w:line="360" w:lineRule="atLeast"/>
      <w:textAlignment w:val="center"/>
    </w:pPr>
    <w:rPr>
      <w:rFonts w:ascii="ArialMT" w:hAnsi="ArialMT" w:cs="ArialMT"/>
      <w:color w:val="000065"/>
      <w:sz w:val="36"/>
      <w:szCs w:val="36"/>
    </w:rPr>
  </w:style>
  <w:style w:type="paragraph" w:styleId="Plattetekst">
    <w:name w:val="Body Text"/>
    <w:basedOn w:val="Standaard"/>
    <w:link w:val="PlattetekstChar"/>
    <w:uiPriority w:val="99"/>
    <w:semiHidden/>
    <w:unhideWhenUsed/>
    <w:rsid w:val="00893833"/>
    <w:pPr>
      <w:spacing w:after="120"/>
    </w:pPr>
  </w:style>
  <w:style w:type="character" w:customStyle="1" w:styleId="PlattetekstChar">
    <w:name w:val="Platte tekst Char"/>
    <w:basedOn w:val="Standaardalinea-lettertype"/>
    <w:link w:val="Plattetekst"/>
    <w:uiPriority w:val="99"/>
    <w:semiHidden/>
    <w:rsid w:val="00893833"/>
  </w:style>
  <w:style w:type="paragraph" w:customStyle="1" w:styleId="TemplateBodyText">
    <w:name w:val="Template Body Text"/>
    <w:basedOn w:val="Plattetekst"/>
    <w:link w:val="TemplateBodyTextChar"/>
    <w:uiPriority w:val="99"/>
    <w:rsid w:val="00893833"/>
    <w:pPr>
      <w:widowControl w:val="0"/>
      <w:suppressAutoHyphens/>
      <w:autoSpaceDE w:val="0"/>
      <w:autoSpaceDN w:val="0"/>
      <w:adjustRightInd w:val="0"/>
      <w:spacing w:after="180" w:line="400" w:lineRule="atLeast"/>
      <w:textAlignment w:val="center"/>
    </w:pPr>
    <w:rPr>
      <w:rFonts w:ascii="ArialMT" w:hAnsi="ArialMT" w:cs="ArialMT"/>
      <w:color w:val="000000"/>
    </w:rPr>
  </w:style>
  <w:style w:type="paragraph" w:customStyle="1" w:styleId="TemplateBullets">
    <w:name w:val="Template Bullets"/>
    <w:basedOn w:val="TemplateBodyText"/>
    <w:uiPriority w:val="99"/>
    <w:rsid w:val="00B01FFE"/>
    <w:pPr>
      <w:spacing w:after="0"/>
      <w:ind w:left="634" w:hanging="360"/>
    </w:pPr>
  </w:style>
  <w:style w:type="paragraph" w:customStyle="1" w:styleId="TemplateBullets-Sub">
    <w:name w:val="Template Bullets-Sub"/>
    <w:basedOn w:val="TemplateBodyText"/>
    <w:uiPriority w:val="99"/>
    <w:rsid w:val="00893833"/>
    <w:pPr>
      <w:spacing w:after="0"/>
      <w:ind w:left="990" w:hanging="360"/>
    </w:pPr>
  </w:style>
  <w:style w:type="paragraph" w:customStyle="1" w:styleId="RedBullets">
    <w:name w:val="Red Bullets"/>
    <w:basedOn w:val="TemplateBullets"/>
    <w:qFormat/>
    <w:rsid w:val="00E269AE"/>
    <w:pPr>
      <w:numPr>
        <w:numId w:val="3"/>
      </w:numPr>
    </w:pPr>
    <w:rPr>
      <w:rFonts w:asciiTheme="majorHAnsi" w:hAnsiTheme="majorHAnsi"/>
    </w:rPr>
  </w:style>
  <w:style w:type="paragraph" w:customStyle="1" w:styleId="Headline">
    <w:name w:val="Headline"/>
    <w:basedOn w:val="Standaard"/>
    <w:uiPriority w:val="99"/>
    <w:rsid w:val="00B01FFE"/>
    <w:pPr>
      <w:widowControl w:val="0"/>
      <w:autoSpaceDE w:val="0"/>
      <w:autoSpaceDN w:val="0"/>
      <w:adjustRightInd w:val="0"/>
      <w:spacing w:line="800" w:lineRule="atLeast"/>
      <w:textAlignment w:val="center"/>
    </w:pPr>
    <w:rPr>
      <w:rFonts w:ascii="ArialMT" w:hAnsi="ArialMT" w:cs="ArialMT"/>
      <w:color w:val="000065"/>
      <w:sz w:val="70"/>
      <w:szCs w:val="70"/>
    </w:rPr>
  </w:style>
  <w:style w:type="paragraph" w:styleId="Voettekst">
    <w:name w:val="footer"/>
    <w:basedOn w:val="Standaard"/>
    <w:link w:val="VoettekstChar"/>
    <w:uiPriority w:val="99"/>
    <w:unhideWhenUsed/>
    <w:rsid w:val="00112A54"/>
    <w:pPr>
      <w:tabs>
        <w:tab w:val="center" w:pos="4320"/>
        <w:tab w:val="right" w:pos="8640"/>
      </w:tabs>
    </w:pPr>
  </w:style>
  <w:style w:type="character" w:customStyle="1" w:styleId="VoettekstChar">
    <w:name w:val="Voettekst Char"/>
    <w:basedOn w:val="Standaardalinea-lettertype"/>
    <w:link w:val="Voettekst"/>
    <w:uiPriority w:val="99"/>
    <w:rsid w:val="00112A54"/>
  </w:style>
  <w:style w:type="paragraph" w:styleId="Normaalweb">
    <w:name w:val="Normal (Web)"/>
    <w:basedOn w:val="Standaard"/>
    <w:uiPriority w:val="99"/>
    <w:semiHidden/>
    <w:unhideWhenUsed/>
    <w:rsid w:val="00AF61BE"/>
    <w:pPr>
      <w:spacing w:before="100" w:beforeAutospacing="1" w:after="100" w:afterAutospacing="1"/>
    </w:pPr>
    <w:rPr>
      <w:rFonts w:ascii="Times" w:hAnsi="Times" w:cs="Times New Roman"/>
      <w:sz w:val="20"/>
      <w:szCs w:val="20"/>
    </w:rPr>
  </w:style>
  <w:style w:type="paragraph" w:customStyle="1" w:styleId="BoilerplateHeadline">
    <w:name w:val="Boilerplate Headline"/>
    <w:basedOn w:val="Standaard"/>
    <w:uiPriority w:val="99"/>
    <w:rsid w:val="00AF61BE"/>
    <w:pPr>
      <w:widowControl w:val="0"/>
      <w:autoSpaceDE w:val="0"/>
      <w:autoSpaceDN w:val="0"/>
      <w:adjustRightInd w:val="0"/>
      <w:spacing w:line="360" w:lineRule="atLeast"/>
      <w:textAlignment w:val="center"/>
    </w:pPr>
    <w:rPr>
      <w:rFonts w:ascii="ArialMT" w:hAnsi="ArialMT" w:cs="ArialMT"/>
      <w:color w:val="3B95D9"/>
      <w:sz w:val="30"/>
      <w:szCs w:val="30"/>
    </w:rPr>
  </w:style>
  <w:style w:type="paragraph" w:customStyle="1" w:styleId="BoilerplateBodyText">
    <w:name w:val="Boilerplate Body Text"/>
    <w:basedOn w:val="Standaard"/>
    <w:uiPriority w:val="99"/>
    <w:rsid w:val="00AF61BE"/>
    <w:pPr>
      <w:widowControl w:val="0"/>
      <w:suppressAutoHyphens/>
      <w:autoSpaceDE w:val="0"/>
      <w:autoSpaceDN w:val="0"/>
      <w:adjustRightInd w:val="0"/>
      <w:spacing w:after="180" w:line="288" w:lineRule="auto"/>
      <w:textAlignment w:val="center"/>
    </w:pPr>
    <w:rPr>
      <w:rFonts w:ascii="ArialMT" w:hAnsi="ArialMT" w:cs="ArialMT"/>
      <w:color w:val="000000"/>
      <w:sz w:val="18"/>
      <w:szCs w:val="18"/>
    </w:rPr>
  </w:style>
  <w:style w:type="paragraph" w:styleId="Ballontekst">
    <w:name w:val="Balloon Text"/>
    <w:basedOn w:val="Standaard"/>
    <w:link w:val="BallontekstChar"/>
    <w:uiPriority w:val="99"/>
    <w:semiHidden/>
    <w:unhideWhenUsed/>
    <w:rsid w:val="00FB2F1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2F16"/>
    <w:rPr>
      <w:rFonts w:ascii="Segoe UI" w:hAnsi="Segoe UI" w:cs="Segoe UI"/>
      <w:sz w:val="18"/>
      <w:szCs w:val="18"/>
    </w:rPr>
  </w:style>
  <w:style w:type="character" w:styleId="Verwijzingopmerking">
    <w:name w:val="annotation reference"/>
    <w:basedOn w:val="Standaardalinea-lettertype"/>
    <w:uiPriority w:val="99"/>
    <w:semiHidden/>
    <w:unhideWhenUsed/>
    <w:rsid w:val="004350A2"/>
    <w:rPr>
      <w:sz w:val="16"/>
      <w:szCs w:val="16"/>
    </w:rPr>
  </w:style>
  <w:style w:type="paragraph" w:styleId="Tekstopmerking">
    <w:name w:val="annotation text"/>
    <w:basedOn w:val="Standaard"/>
    <w:link w:val="TekstopmerkingChar"/>
    <w:uiPriority w:val="99"/>
    <w:semiHidden/>
    <w:unhideWhenUsed/>
    <w:rsid w:val="004350A2"/>
    <w:rPr>
      <w:sz w:val="20"/>
      <w:szCs w:val="20"/>
    </w:rPr>
  </w:style>
  <w:style w:type="character" w:customStyle="1" w:styleId="TekstopmerkingChar">
    <w:name w:val="Tekst opmerking Char"/>
    <w:basedOn w:val="Standaardalinea-lettertype"/>
    <w:link w:val="Tekstopmerking"/>
    <w:uiPriority w:val="99"/>
    <w:semiHidden/>
    <w:rsid w:val="004350A2"/>
    <w:rPr>
      <w:sz w:val="20"/>
      <w:szCs w:val="20"/>
    </w:rPr>
  </w:style>
  <w:style w:type="paragraph" w:styleId="Onderwerpvanopmerking">
    <w:name w:val="annotation subject"/>
    <w:basedOn w:val="Tekstopmerking"/>
    <w:next w:val="Tekstopmerking"/>
    <w:link w:val="OnderwerpvanopmerkingChar"/>
    <w:uiPriority w:val="99"/>
    <w:semiHidden/>
    <w:unhideWhenUsed/>
    <w:rsid w:val="004350A2"/>
    <w:rPr>
      <w:b/>
      <w:bCs/>
    </w:rPr>
  </w:style>
  <w:style w:type="character" w:customStyle="1" w:styleId="OnderwerpvanopmerkingChar">
    <w:name w:val="Onderwerp van opmerking Char"/>
    <w:basedOn w:val="TekstopmerkingChar"/>
    <w:link w:val="Onderwerpvanopmerking"/>
    <w:uiPriority w:val="99"/>
    <w:semiHidden/>
    <w:rsid w:val="004350A2"/>
    <w:rPr>
      <w:b/>
      <w:bCs/>
      <w:sz w:val="20"/>
      <w:szCs w:val="20"/>
    </w:rPr>
  </w:style>
  <w:style w:type="paragraph" w:styleId="Lijstalinea">
    <w:name w:val="List Paragraph"/>
    <w:basedOn w:val="Standaard"/>
    <w:uiPriority w:val="34"/>
    <w:qFormat/>
    <w:rsid w:val="00E269AE"/>
    <w:pPr>
      <w:ind w:left="720"/>
      <w:contextualSpacing/>
    </w:pPr>
    <w:rPr>
      <w:rFonts w:ascii="Times New Roman" w:eastAsia="Times New Roman" w:hAnsi="Times New Roman" w:cs="Times New Roman"/>
      <w:sz w:val="20"/>
      <w:szCs w:val="20"/>
    </w:rPr>
  </w:style>
  <w:style w:type="character" w:customStyle="1" w:styleId="TemplateBodyTextChar">
    <w:name w:val="Template Body Text Char"/>
    <w:basedOn w:val="PlattetekstChar"/>
    <w:link w:val="TemplateBodyText"/>
    <w:uiPriority w:val="99"/>
    <w:rsid w:val="007F38EB"/>
    <w:rPr>
      <w:rFonts w:ascii="ArialMT" w:hAnsi="ArialMT" w:cs="ArialM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IA 2013 PPT">
  <a:themeElements>
    <a:clrScheme name="Custom 1">
      <a:dk1>
        <a:srgbClr val="061D38"/>
      </a:dk1>
      <a:lt1>
        <a:sysClr val="window" lastClr="FFFFFF"/>
      </a:lt1>
      <a:dk2>
        <a:srgbClr val="004572"/>
      </a:dk2>
      <a:lt2>
        <a:srgbClr val="FFFFFE"/>
      </a:lt2>
      <a:accent1>
        <a:srgbClr val="008FC7"/>
      </a:accent1>
      <a:accent2>
        <a:srgbClr val="D32E30"/>
      </a:accent2>
      <a:accent3>
        <a:srgbClr val="4C4C4C"/>
      </a:accent3>
      <a:accent4>
        <a:srgbClr val="CECBC2"/>
      </a:accent4>
      <a:accent5>
        <a:srgbClr val="A7A8A7"/>
      </a:accent5>
      <a:accent6>
        <a:srgbClr val="DF6626"/>
      </a:accent6>
      <a:hlink>
        <a:srgbClr val="008FC7"/>
      </a:hlink>
      <a:folHlink>
        <a:srgbClr val="38123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9F7BB32F2294F9D78893CD8E3280E" ma:contentTypeVersion="15" ma:contentTypeDescription="Een nieuw document maken." ma:contentTypeScope="" ma:versionID="f679380a8e4e886ecc5d957d2e1fe2ba">
  <xsd:schema xmlns:xsd="http://www.w3.org/2001/XMLSchema" xmlns:xs="http://www.w3.org/2001/XMLSchema" xmlns:p="http://schemas.microsoft.com/office/2006/metadata/properties" xmlns:ns2="0c3fcb60-73aa-4fba-936c-f4e4949477d8" xmlns:ns3="4954079c-738c-4385-842a-9c050cf63c06" targetNamespace="http://schemas.microsoft.com/office/2006/metadata/properties" ma:root="true" ma:fieldsID="106845997257846790f80a0afdb0d6c2" ns2:_="" ns3:_="">
    <xsd:import namespace="0c3fcb60-73aa-4fba-936c-f4e4949477d8"/>
    <xsd:import namespace="4954079c-738c-4385-842a-9c050cf63c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fcb60-73aa-4fba-936c-f4e4949477d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8d94e95-c22f-4490-ac5b-50eb1da410da}" ma:internalName="TaxCatchAll" ma:showField="CatchAllData" ma:web="0c3fcb60-73aa-4fba-936c-f4e4949477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54079c-738c-4385-842a-9c050cf63c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eb6d24d-4a21-4ef1-8551-673e5fb1a20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3fcb60-73aa-4fba-936c-f4e4949477d8" xsi:nil="true"/>
    <lcf76f155ced4ddcb4097134ff3c332f xmlns="4954079c-738c-4385-842a-9c050cf63c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ADF680-571D-4718-949B-12D9FFE12872}">
  <ds:schemaRefs>
    <ds:schemaRef ds:uri="http://schemas.openxmlformats.org/officeDocument/2006/bibliography"/>
  </ds:schemaRefs>
</ds:datastoreItem>
</file>

<file path=customXml/itemProps2.xml><?xml version="1.0" encoding="utf-8"?>
<ds:datastoreItem xmlns:ds="http://schemas.openxmlformats.org/officeDocument/2006/customXml" ds:itemID="{E39633FF-6088-4F33-8AA8-F37FBFDA582E}"/>
</file>

<file path=customXml/itemProps3.xml><?xml version="1.0" encoding="utf-8"?>
<ds:datastoreItem xmlns:ds="http://schemas.openxmlformats.org/officeDocument/2006/customXml" ds:itemID="{824C18EE-A6F8-4A8C-84D5-BEA0672E1A6A}"/>
</file>

<file path=customXml/itemProps4.xml><?xml version="1.0" encoding="utf-8"?>
<ds:datastoreItem xmlns:ds="http://schemas.openxmlformats.org/officeDocument/2006/customXml" ds:itemID="{A55BC185-E0F2-4A1E-870E-6E480CA1E5F8}"/>
</file>

<file path=docProps/app.xml><?xml version="1.0" encoding="utf-8"?>
<Properties xmlns="http://schemas.openxmlformats.org/officeDocument/2006/extended-properties" xmlns:vt="http://schemas.openxmlformats.org/officeDocument/2006/docPropsVTypes">
  <Template>875C58D6</Template>
  <TotalTime>4</TotalTime>
  <Pages>4</Pages>
  <Words>802</Words>
  <Characters>4415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The IIA</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Citro</dc:creator>
  <cp:lastModifiedBy>Linda Poort</cp:lastModifiedBy>
  <cp:revision>5</cp:revision>
  <dcterms:created xsi:type="dcterms:W3CDTF">2017-08-21T10:05:00Z</dcterms:created>
  <dcterms:modified xsi:type="dcterms:W3CDTF">2017-08-21T13:56:00Z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0x0101009BA9F7BB32F2294F9D78893CD8E3280E</vt:lpwstr>
  </property>
</Properties>
</file>