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DC2800" w:rsidRDefault="00C6368B" w:rsidP="00FF046F">
      <w:pPr>
        <w:pStyle w:val="Geenafstand"/>
        <w:rPr>
          <w:rFonts w:cstheme="minorHAnsi"/>
          <w:lang w:val="nl-NL"/>
        </w:rPr>
      </w:pPr>
      <w:r w:rsidRPr="00DC2800">
        <w:rPr>
          <w:rFonts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1524000</wp:posOffset>
                </wp:positionV>
                <wp:extent cx="6400800" cy="50577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5057775"/>
                        </a:xfrm>
                        <a:prstGeom prst="rect">
                          <a:avLst/>
                        </a:prstGeom>
                        <a:solidFill>
                          <a:schemeClr val="bg1">
                            <a:lumMod val="85000"/>
                          </a:scheme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212A7E" w:rsidRDefault="00665553" w:rsidP="002F57B5">
                            <w:pPr>
                              <w:pStyle w:val="TemplateHeadline"/>
                              <w:rPr>
                                <w:rFonts w:asciiTheme="majorHAnsi" w:hAnsiTheme="majorHAnsi" w:cstheme="majorHAnsi"/>
                                <w:lang w:val="nl-NL"/>
                              </w:rPr>
                            </w:pPr>
                            <w:r w:rsidRPr="00212A7E">
                              <w:rPr>
                                <w:rFonts w:asciiTheme="majorHAnsi" w:hAnsiTheme="majorHAnsi" w:cstheme="majorHAnsi"/>
                                <w:lang w:val="nl-NL"/>
                              </w:rPr>
                              <w:t xml:space="preserve">Standaard </w:t>
                            </w:r>
                            <w:r w:rsidR="002F408F" w:rsidRPr="00212A7E">
                              <w:rPr>
                                <w:rFonts w:asciiTheme="majorHAnsi" w:hAnsiTheme="majorHAnsi" w:cstheme="majorHAnsi"/>
                                <w:lang w:val="nl-NL"/>
                              </w:rPr>
                              <w:t xml:space="preserve">1321 – Gebruik van de uitdrukking 'In overeenstemming met de </w:t>
                            </w:r>
                            <w:r w:rsidR="002F408F" w:rsidRPr="00212A7E">
                              <w:rPr>
                                <w:rFonts w:asciiTheme="majorHAnsi" w:hAnsiTheme="majorHAnsi" w:cstheme="majorHAnsi"/>
                                <w:i/>
                                <w:lang w:val="nl-NL"/>
                              </w:rPr>
                              <w:t>internationale standaarden voor de beroepsuitoefening van internal auditing</w:t>
                            </w:r>
                            <w:r w:rsidR="002F408F" w:rsidRPr="00212A7E">
                              <w:rPr>
                                <w:rFonts w:asciiTheme="majorHAnsi" w:hAnsiTheme="majorHAnsi" w:cstheme="majorHAnsi"/>
                                <w:lang w:val="nl-NL"/>
                              </w:rPr>
                              <w:t>'</w:t>
                            </w:r>
                          </w:p>
                          <w:p w:rsidR="00212A7E" w:rsidRPr="00DC2800" w:rsidRDefault="00212A7E" w:rsidP="00212A7E">
                            <w:pPr>
                              <w:pStyle w:val="RedBullets"/>
                              <w:numPr>
                                <w:ilvl w:val="0"/>
                                <w:numId w:val="0"/>
                              </w:numPr>
                              <w:rPr>
                                <w:rFonts w:asciiTheme="majorHAnsi" w:hAnsiTheme="majorHAnsi" w:cstheme="majorHAnsi"/>
                                <w:sz w:val="22"/>
                                <w:szCs w:val="22"/>
                                <w:lang w:val="nl-NL"/>
                              </w:rPr>
                            </w:pPr>
                            <w:r w:rsidRPr="00DC2800">
                              <w:rPr>
                                <w:rFonts w:asciiTheme="majorHAnsi" w:hAnsiTheme="majorHAnsi" w:cstheme="majorHAnsi"/>
                                <w:sz w:val="22"/>
                                <w:szCs w:val="22"/>
                                <w:lang w:val="nl-NL"/>
                              </w:rPr>
                              <w:t>Het hoofd van de internal-auditfunctie mag alleen vermelden dat de internal-auditfunctie voldoet aan de internationale standaarden voor de beroepsuitoefening van internal auditing als de resultaten van het programma voor kwaliteitsbewaking en -verbetering deze verklaring ondersteunen.</w:t>
                            </w:r>
                          </w:p>
                          <w:p w:rsidR="00212A7E" w:rsidRPr="00DC2800" w:rsidRDefault="00212A7E" w:rsidP="00212A7E">
                            <w:pPr>
                              <w:pStyle w:val="RedBullets"/>
                              <w:numPr>
                                <w:ilvl w:val="0"/>
                                <w:numId w:val="0"/>
                              </w:numPr>
                              <w:ind w:left="360" w:hanging="360"/>
                              <w:rPr>
                                <w:rFonts w:asciiTheme="majorHAnsi" w:hAnsiTheme="majorHAnsi" w:cstheme="majorHAnsi"/>
                                <w:sz w:val="22"/>
                                <w:szCs w:val="22"/>
                                <w:lang w:val="nl-NL"/>
                              </w:rPr>
                            </w:pPr>
                          </w:p>
                          <w:p w:rsidR="00212A7E" w:rsidRDefault="00212A7E" w:rsidP="00212A7E">
                            <w:pPr>
                              <w:pStyle w:val="RedBullets"/>
                              <w:numPr>
                                <w:ilvl w:val="0"/>
                                <w:numId w:val="0"/>
                              </w:numPr>
                              <w:ind w:left="360" w:hanging="360"/>
                              <w:rPr>
                                <w:rFonts w:asciiTheme="majorHAnsi" w:hAnsiTheme="majorHAnsi" w:cstheme="majorHAnsi"/>
                                <w:sz w:val="22"/>
                                <w:szCs w:val="22"/>
                                <w:lang w:val="nl-NL"/>
                              </w:rPr>
                            </w:pPr>
                            <w:r w:rsidRPr="00DC2800">
                              <w:rPr>
                                <w:rFonts w:asciiTheme="majorHAnsi" w:hAnsiTheme="majorHAnsi" w:cstheme="majorHAnsi"/>
                                <w:b/>
                                <w:sz w:val="22"/>
                                <w:szCs w:val="22"/>
                                <w:lang w:val="nl-NL"/>
                              </w:rPr>
                              <w:t>Interpretatie</w:t>
                            </w:r>
                            <w:r w:rsidRPr="00DC2800">
                              <w:rPr>
                                <w:rFonts w:asciiTheme="majorHAnsi" w:hAnsiTheme="majorHAnsi" w:cstheme="majorHAnsi"/>
                                <w:sz w:val="22"/>
                                <w:szCs w:val="22"/>
                                <w:lang w:val="nl-NL"/>
                              </w:rPr>
                              <w:t>:</w:t>
                            </w:r>
                          </w:p>
                          <w:p w:rsidR="00DC2800" w:rsidRPr="00DC2800" w:rsidRDefault="00DC2800" w:rsidP="00212A7E">
                            <w:pPr>
                              <w:pStyle w:val="RedBullets"/>
                              <w:numPr>
                                <w:ilvl w:val="0"/>
                                <w:numId w:val="0"/>
                              </w:numPr>
                              <w:ind w:left="360" w:hanging="360"/>
                              <w:rPr>
                                <w:rFonts w:asciiTheme="majorHAnsi" w:hAnsiTheme="majorHAnsi" w:cstheme="majorHAnsi"/>
                                <w:sz w:val="22"/>
                                <w:szCs w:val="22"/>
                                <w:lang w:val="nl-NL"/>
                              </w:rPr>
                            </w:pPr>
                          </w:p>
                          <w:p w:rsidR="005A0CAD" w:rsidRPr="00DC2800" w:rsidRDefault="00212A7E" w:rsidP="00212A7E">
                            <w:pPr>
                              <w:pStyle w:val="RedBullets"/>
                              <w:numPr>
                                <w:ilvl w:val="0"/>
                                <w:numId w:val="0"/>
                              </w:numPr>
                              <w:rPr>
                                <w:rFonts w:asciiTheme="majorHAnsi" w:hAnsiTheme="majorHAnsi" w:cstheme="majorHAnsi"/>
                                <w:i/>
                                <w:sz w:val="22"/>
                                <w:szCs w:val="22"/>
                                <w:lang w:val="nl-NL"/>
                              </w:rPr>
                            </w:pPr>
                            <w:r w:rsidRPr="00DC2800">
                              <w:rPr>
                                <w:rFonts w:asciiTheme="majorHAnsi" w:hAnsiTheme="majorHAnsi" w:cstheme="majorHAnsi"/>
                                <w:i/>
                                <w:sz w:val="22"/>
                                <w:szCs w:val="22"/>
                                <w:lang w:val="nl-NL"/>
                              </w:rPr>
                              <w:t>De internal auditing voldoet aan de gedragscode en de Standaarden indien de daarin beschreven uitkomsten worden gerealiseerd. De resultaten van het programma voor kwaliteitsbewaking en -verbetering omvatten zowel interne als externe evaluaties. Alle activiteiten met betrekking tot internal auditing hebben de resultaten van interne evaluaties. Activiteiten met betrekking tot internal auditing die reeds vijf jaar bestaan, omvatten ook resultaten van externe evaluaties.</w:t>
                            </w:r>
                          </w:p>
                          <w:p w:rsidR="002F57B5" w:rsidRPr="00DC2800" w:rsidRDefault="002F57B5" w:rsidP="002F57B5">
                            <w:pPr>
                              <w:pStyle w:val="RedBullets"/>
                              <w:numPr>
                                <w:ilvl w:val="0"/>
                                <w:numId w:val="0"/>
                              </w:numPr>
                              <w:rPr>
                                <w:rFonts w:asciiTheme="majorHAnsi" w:hAnsiTheme="majorHAnsi" w:cstheme="majorHAnsi"/>
                                <w:sz w:val="22"/>
                                <w:szCs w:val="22"/>
                                <w:lang w:val="nl-NL"/>
                              </w:rPr>
                            </w:pPr>
                          </w:p>
                          <w:p w:rsidR="00212A7E" w:rsidRPr="00DC2800" w:rsidRDefault="00212A7E" w:rsidP="00212A7E">
                            <w:pPr>
                              <w:pStyle w:val="RedBullets"/>
                              <w:numPr>
                                <w:ilvl w:val="0"/>
                                <w:numId w:val="0"/>
                              </w:numPr>
                              <w:jc w:val="right"/>
                              <w:rPr>
                                <w:rFonts w:asciiTheme="majorHAnsi" w:hAnsiTheme="majorHAnsi" w:cstheme="majorHAnsi"/>
                                <w:sz w:val="22"/>
                                <w:szCs w:val="22"/>
                                <w:lang w:val="nl-NL"/>
                              </w:rPr>
                            </w:pPr>
                            <w:proofErr w:type="spellStart"/>
                            <w:r w:rsidRPr="00DC2800">
                              <w:rPr>
                                <w:rFonts w:asciiTheme="majorHAnsi" w:hAnsiTheme="majorHAnsi" w:cstheme="majorHAnsi"/>
                                <w:sz w:val="22"/>
                                <w:szCs w:val="22"/>
                                <w:lang w:val="nl-NL"/>
                              </w:rPr>
                              <w:t>Herziene</w:t>
                            </w:r>
                            <w:proofErr w:type="spellEnd"/>
                            <w:r w:rsidRPr="00DC2800">
                              <w:rPr>
                                <w:rFonts w:asciiTheme="majorHAnsi" w:hAnsiTheme="majorHAnsi" w:cstheme="majorHAnsi"/>
                                <w:sz w:val="22"/>
                                <w:szCs w:val="22"/>
                                <w:lang w:val="nl-NL"/>
                              </w:rPr>
                              <w:t xml:space="preserve"> Standaarden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20pt;width:7in;height:398.2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" fillcolor="#d8d8d8 [2732]" stroked="f">
                <v:textbox inset="14.4pt,23.76pt,14.4pt,23.76pt">
                  <w:txbxContent>
                    <w:p w:rsidR="002F57B5" w:rsidRPr="00212A7E" w:rsidRDefault="00665553" w:rsidP="002F57B5">
                      <w:pPr>
                        <w:pStyle w:val="TemplateHeadline"/>
                        <w:rPr>
                          <w:rFonts w:asciiTheme="majorHAnsi" w:hAnsiTheme="majorHAnsi" w:cstheme="majorHAnsi"/>
                          <w:lang w:val="nl-NL"/>
                        </w:rPr>
                      </w:pPr>
                      <w:r w:rsidRPr="00212A7E">
                        <w:rPr>
                          <w:rFonts w:asciiTheme="majorHAnsi" w:hAnsiTheme="majorHAnsi" w:cstheme="majorHAnsi"/>
                          <w:lang w:val="nl-NL"/>
                        </w:rPr>
                        <w:t xml:space="preserve">Standaard </w:t>
                      </w:r>
                      <w:r w:rsidR="002F408F" w:rsidRPr="00212A7E">
                        <w:rPr>
                          <w:rFonts w:asciiTheme="majorHAnsi" w:hAnsiTheme="majorHAnsi" w:cstheme="majorHAnsi"/>
                          <w:lang w:val="nl-NL"/>
                        </w:rPr>
                        <w:t xml:space="preserve">1321 – Gebruik van de uitdrukking 'In overeenstemming met de </w:t>
                      </w:r>
                      <w:r w:rsidR="002F408F" w:rsidRPr="00212A7E">
                        <w:rPr>
                          <w:rFonts w:asciiTheme="majorHAnsi" w:hAnsiTheme="majorHAnsi" w:cstheme="majorHAnsi"/>
                          <w:i/>
                          <w:lang w:val="nl-NL"/>
                        </w:rPr>
                        <w:t>internationale standaarden voor de beroepsuitoefening van internal auditing</w:t>
                      </w:r>
                      <w:r w:rsidR="002F408F" w:rsidRPr="00212A7E">
                        <w:rPr>
                          <w:rFonts w:asciiTheme="majorHAnsi" w:hAnsiTheme="majorHAnsi" w:cstheme="majorHAnsi"/>
                          <w:lang w:val="nl-NL"/>
                        </w:rPr>
                        <w:t>'</w:t>
                      </w:r>
                    </w:p>
                    <w:p w:rsidR="00212A7E" w:rsidRPr="00DC2800" w:rsidRDefault="00212A7E" w:rsidP="00212A7E">
                      <w:pPr>
                        <w:pStyle w:val="RedBullets"/>
                        <w:numPr>
                          <w:ilvl w:val="0"/>
                          <w:numId w:val="0"/>
                        </w:numPr>
                        <w:rPr>
                          <w:rFonts w:asciiTheme="majorHAnsi" w:hAnsiTheme="majorHAnsi" w:cstheme="majorHAnsi"/>
                          <w:sz w:val="22"/>
                          <w:szCs w:val="22"/>
                          <w:lang w:val="nl-NL"/>
                        </w:rPr>
                      </w:pPr>
                      <w:r w:rsidRPr="00DC2800">
                        <w:rPr>
                          <w:rFonts w:asciiTheme="majorHAnsi" w:hAnsiTheme="majorHAnsi" w:cstheme="majorHAnsi"/>
                          <w:sz w:val="22"/>
                          <w:szCs w:val="22"/>
                          <w:lang w:val="nl-NL"/>
                        </w:rPr>
                        <w:t>Het hoofd van de internal-auditfunctie mag alleen vermelden dat de internal-auditfunctie voldoet aan de internationale standaarden voor de beroepsuitoefening van internal auditing als de resultaten van het programma voor kwaliteitsbewaking en -verbetering deze verklaring ondersteunen.</w:t>
                      </w:r>
                    </w:p>
                    <w:p w:rsidR="00212A7E" w:rsidRPr="00DC2800" w:rsidRDefault="00212A7E" w:rsidP="00212A7E">
                      <w:pPr>
                        <w:pStyle w:val="RedBullets"/>
                        <w:numPr>
                          <w:ilvl w:val="0"/>
                          <w:numId w:val="0"/>
                        </w:numPr>
                        <w:ind w:left="360" w:hanging="360"/>
                        <w:rPr>
                          <w:rFonts w:asciiTheme="majorHAnsi" w:hAnsiTheme="majorHAnsi" w:cstheme="majorHAnsi"/>
                          <w:sz w:val="22"/>
                          <w:szCs w:val="22"/>
                          <w:lang w:val="nl-NL"/>
                        </w:rPr>
                      </w:pPr>
                    </w:p>
                    <w:p w:rsidR="00212A7E" w:rsidRDefault="00212A7E" w:rsidP="00212A7E">
                      <w:pPr>
                        <w:pStyle w:val="RedBullets"/>
                        <w:numPr>
                          <w:ilvl w:val="0"/>
                          <w:numId w:val="0"/>
                        </w:numPr>
                        <w:ind w:left="360" w:hanging="360"/>
                        <w:rPr>
                          <w:rFonts w:asciiTheme="majorHAnsi" w:hAnsiTheme="majorHAnsi" w:cstheme="majorHAnsi"/>
                          <w:sz w:val="22"/>
                          <w:szCs w:val="22"/>
                          <w:lang w:val="nl-NL"/>
                        </w:rPr>
                      </w:pPr>
                      <w:r w:rsidRPr="00DC2800">
                        <w:rPr>
                          <w:rFonts w:asciiTheme="majorHAnsi" w:hAnsiTheme="majorHAnsi" w:cstheme="majorHAnsi"/>
                          <w:b/>
                          <w:sz w:val="22"/>
                          <w:szCs w:val="22"/>
                          <w:lang w:val="nl-NL"/>
                        </w:rPr>
                        <w:t>Interpretatie</w:t>
                      </w:r>
                      <w:r w:rsidRPr="00DC2800">
                        <w:rPr>
                          <w:rFonts w:asciiTheme="majorHAnsi" w:hAnsiTheme="majorHAnsi" w:cstheme="majorHAnsi"/>
                          <w:sz w:val="22"/>
                          <w:szCs w:val="22"/>
                          <w:lang w:val="nl-NL"/>
                        </w:rPr>
                        <w:t>:</w:t>
                      </w:r>
                    </w:p>
                    <w:p w:rsidR="00DC2800" w:rsidRPr="00DC2800" w:rsidRDefault="00DC2800" w:rsidP="00212A7E">
                      <w:pPr>
                        <w:pStyle w:val="RedBullets"/>
                        <w:numPr>
                          <w:ilvl w:val="0"/>
                          <w:numId w:val="0"/>
                        </w:numPr>
                        <w:ind w:left="360" w:hanging="360"/>
                        <w:rPr>
                          <w:rFonts w:asciiTheme="majorHAnsi" w:hAnsiTheme="majorHAnsi" w:cstheme="majorHAnsi"/>
                          <w:sz w:val="22"/>
                          <w:szCs w:val="22"/>
                          <w:lang w:val="nl-NL"/>
                        </w:rPr>
                      </w:pPr>
                    </w:p>
                    <w:p w:rsidR="005A0CAD" w:rsidRPr="00DC2800" w:rsidRDefault="00212A7E" w:rsidP="00212A7E">
                      <w:pPr>
                        <w:pStyle w:val="RedBullets"/>
                        <w:numPr>
                          <w:ilvl w:val="0"/>
                          <w:numId w:val="0"/>
                        </w:numPr>
                        <w:rPr>
                          <w:rFonts w:asciiTheme="majorHAnsi" w:hAnsiTheme="majorHAnsi" w:cstheme="majorHAnsi"/>
                          <w:i/>
                          <w:sz w:val="22"/>
                          <w:szCs w:val="22"/>
                          <w:lang w:val="nl-NL"/>
                        </w:rPr>
                      </w:pPr>
                      <w:r w:rsidRPr="00DC2800">
                        <w:rPr>
                          <w:rFonts w:asciiTheme="majorHAnsi" w:hAnsiTheme="majorHAnsi" w:cstheme="majorHAnsi"/>
                          <w:i/>
                          <w:sz w:val="22"/>
                          <w:szCs w:val="22"/>
                          <w:lang w:val="nl-NL"/>
                        </w:rPr>
                        <w:t>De internal auditing voldoet aan de gedragscode en de Standaarden indien de daarin beschreven uitkomsten worden gerealiseerd. De resultaten van het programma voor kwaliteitsbewaking en -verbetering omvatten zowel interne als externe evaluaties. Alle activiteiten met betrekking tot internal auditing hebben de resultaten van interne evaluaties. Activiteiten met betrekking tot internal auditing die reeds vijf jaar bestaan, omvatten ook resultaten van externe evaluaties.</w:t>
                      </w:r>
                    </w:p>
                    <w:p w:rsidR="002F57B5" w:rsidRPr="00DC2800" w:rsidRDefault="002F57B5" w:rsidP="002F57B5">
                      <w:pPr>
                        <w:pStyle w:val="RedBullets"/>
                        <w:numPr>
                          <w:ilvl w:val="0"/>
                          <w:numId w:val="0"/>
                        </w:numPr>
                        <w:rPr>
                          <w:rFonts w:asciiTheme="majorHAnsi" w:hAnsiTheme="majorHAnsi" w:cstheme="majorHAnsi"/>
                          <w:sz w:val="22"/>
                          <w:szCs w:val="22"/>
                          <w:lang w:val="nl-NL"/>
                        </w:rPr>
                      </w:pPr>
                    </w:p>
                    <w:p w:rsidR="00212A7E" w:rsidRPr="00DC2800" w:rsidRDefault="00212A7E" w:rsidP="00212A7E">
                      <w:pPr>
                        <w:pStyle w:val="RedBullets"/>
                        <w:numPr>
                          <w:ilvl w:val="0"/>
                          <w:numId w:val="0"/>
                        </w:numPr>
                        <w:jc w:val="right"/>
                        <w:rPr>
                          <w:rFonts w:asciiTheme="majorHAnsi" w:hAnsiTheme="majorHAnsi" w:cstheme="majorHAnsi"/>
                          <w:sz w:val="22"/>
                          <w:szCs w:val="22"/>
                          <w:lang w:val="nl-NL"/>
                        </w:rPr>
                      </w:pPr>
                      <w:proofErr w:type="spellStart"/>
                      <w:r w:rsidRPr="00DC2800">
                        <w:rPr>
                          <w:rFonts w:asciiTheme="majorHAnsi" w:hAnsiTheme="majorHAnsi" w:cstheme="majorHAnsi"/>
                          <w:sz w:val="22"/>
                          <w:szCs w:val="22"/>
                          <w:lang w:val="nl-NL"/>
                        </w:rPr>
                        <w:t>Herziene</w:t>
                      </w:r>
                      <w:proofErr w:type="spellEnd"/>
                      <w:r w:rsidRPr="00DC2800">
                        <w:rPr>
                          <w:rFonts w:asciiTheme="majorHAnsi" w:hAnsiTheme="majorHAnsi" w:cstheme="majorHAnsi"/>
                          <w:sz w:val="22"/>
                          <w:szCs w:val="22"/>
                          <w:lang w:val="nl-NL"/>
                        </w:rPr>
                        <w:t xml:space="preserve"> Standaarden die per 1 januari 2017 van kracht zijn</w:t>
                      </w:r>
                    </w:p>
                  </w:txbxContent>
                </v:textbox>
                <w10:wrap type="square" anchorx="margin" anchory="margin"/>
              </v:shape>
            </w:pict>
          </mc:Fallback>
        </mc:AlternateContent>
      </w:r>
      <w:r w:rsidR="00685768" w:rsidRPr="00DC2800">
        <w:rPr>
          <w:rFonts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408F"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1321</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408F" w:rsidP="002F57B5">
                      <w:pPr>
                        <w:pStyle w:val="Headline"/>
                        <w:jc w:val="right"/>
                        <w:rPr>
                          <w:color w:val="FFFFFF" w:themeColor="background1"/>
                          <w:sz w:val="50"/>
                          <w:szCs w:val="50"/>
                          <w14:textOutline w14:w="9525" w14:cap="flat" w14:cmpd="sng" w14:algn="ctr">
                            <w14:noFill/>
                            <w14:prstDash w14:val="solid"/>
                            <w14:round/>
                          </w14:textOutline>
                        </w:rPr>
                      </w:pPr>
                      <w:r>
                        <w:rPr>
                          <w:color w:val="FFFFFF" w:themeColor="background1"/>
                          <w:sz w:val="50"/>
                          <w:szCs w:val="50"/>
                          <w:lang w:val="nl-NL"/>
                          <w14:textOutline w14:w="9525" w14:cap="flat" w14:cmpd="sng" w14:algn="ctr">
                            <w14:noFill/>
                            <w14:prstDash w14:val="solid"/>
                            <w14:round/>
                          </w14:textOutline>
                        </w:rPr>
                        <w:t>Implementatierichtlijn 1321</w:t>
                      </w:r>
                    </w:p>
                  </w:txbxContent>
                </v:textbox>
                <w10:wrap type="square" anchorx="page" anchory="page"/>
              </v:shape>
            </w:pict>
          </mc:Fallback>
        </mc:AlternateContent>
      </w:r>
    </w:p>
    <w:p w:rsidR="002F57B5" w:rsidRPr="00DC2800" w:rsidRDefault="00685768" w:rsidP="002F57B5">
      <w:pPr>
        <w:pStyle w:val="TemplateHeadline"/>
        <w:rPr>
          <w:rFonts w:asciiTheme="minorHAnsi" w:hAnsiTheme="minorHAnsi" w:cstheme="minorHAnsi"/>
          <w:lang w:val="nl-NL"/>
        </w:rPr>
      </w:pPr>
      <w:r w:rsidRPr="00DC2800">
        <w:rPr>
          <w:rFonts w:asciiTheme="minorHAnsi" w:hAnsiTheme="minorHAnsi" w:cstheme="minorHAnsi"/>
          <w:lang w:val="nl-NL"/>
        </w:rPr>
        <w:t xml:space="preserve">Inleiding </w:t>
      </w:r>
    </w:p>
    <w:p w:rsidR="006610E7" w:rsidRPr="00DC2800" w:rsidRDefault="006610E7" w:rsidP="006610E7">
      <w:pPr>
        <w:pStyle w:val="TemplateHeadline"/>
        <w:rPr>
          <w:rFonts w:asciiTheme="minorHAnsi" w:hAnsiTheme="minorHAnsi" w:cstheme="minorHAnsi"/>
          <w:color w:val="000000"/>
          <w:sz w:val="22"/>
          <w:szCs w:val="22"/>
          <w:lang w:val="nl-NL"/>
        </w:rPr>
      </w:pPr>
      <w:r w:rsidRPr="00DC2800">
        <w:rPr>
          <w:rFonts w:asciiTheme="minorHAnsi" w:hAnsiTheme="minorHAnsi" w:cstheme="minorHAnsi"/>
          <w:color w:val="000000"/>
          <w:sz w:val="22"/>
          <w:szCs w:val="22"/>
          <w:lang w:val="nl-NL"/>
        </w:rPr>
        <w:t xml:space="preserve">Er worden zowel interne als externe evaluaties van de internal auditfunctie uitgevoerd om de naleving </w:t>
      </w:r>
      <w:r w:rsidRPr="00DC2800">
        <w:rPr>
          <w:rFonts w:asciiTheme="minorHAnsi" w:hAnsiTheme="minorHAnsi" w:cstheme="minorHAnsi"/>
          <w:color w:val="000000"/>
          <w:sz w:val="22"/>
          <w:szCs w:val="22"/>
          <w:lang w:val="nl-NL"/>
        </w:rPr>
        <w:lastRenderedPageBreak/>
        <w:t>van de Internationale Standaarden voor de Beroepsuitoefening van internal auditing (Standaarden) en de Gedragscode van het IIA door de internal auditfunctie te beoordelen en er een mening over te formuleren. Deze evaluaties kunnen ook aanbevelingen voor verbetering bevatten.</w:t>
      </w:r>
    </w:p>
    <w:p w:rsidR="002C0B84" w:rsidRPr="00DC2800" w:rsidRDefault="006610E7" w:rsidP="006610E7">
      <w:pPr>
        <w:pStyle w:val="TemplateHeadline"/>
        <w:rPr>
          <w:rFonts w:asciiTheme="minorHAnsi" w:hAnsiTheme="minorHAnsi" w:cstheme="minorHAnsi"/>
          <w:color w:val="000000"/>
          <w:sz w:val="22"/>
          <w:szCs w:val="22"/>
          <w:lang w:val="nl-NL"/>
        </w:rPr>
      </w:pPr>
      <w:r w:rsidRPr="00DC2800">
        <w:rPr>
          <w:rFonts w:asciiTheme="minorHAnsi" w:hAnsiTheme="minorHAnsi" w:cstheme="minorHAnsi"/>
          <w:color w:val="000000"/>
          <w:sz w:val="22"/>
          <w:szCs w:val="22"/>
          <w:lang w:val="nl-NL"/>
        </w:rPr>
        <w:t>Het hoofd van de internal auditfunctie (CAE) dient inzicht te hebben in de eisen voor een kwaliteitsbewakings- en verbeterprogramma (QAIP) en bekend te zijn met de resultaten van recente interne en externe evaluaties van de internal auditfunctie. De CAE heeft meestal ook inzicht in de verwachtingen van het bestuur met betrekking tot het gebruik van de verklaring "In overeenstemming met de Internationale Standaarden voor de Beroepsuitoefening van internal auditing" De CAE kan dit gebruik periodiek met het bestuur bespreken om inzicht te verkrijgen en behouden in de verwachtingen van het bestuur wat dit betreft.</w:t>
      </w:r>
    </w:p>
    <w:p w:rsidR="006610E7" w:rsidRPr="00DC2800" w:rsidRDefault="006610E7" w:rsidP="006610E7">
      <w:pPr>
        <w:pStyle w:val="TemplateHeadline"/>
        <w:rPr>
          <w:rFonts w:asciiTheme="minorHAnsi" w:hAnsiTheme="minorHAnsi" w:cstheme="minorHAnsi"/>
          <w:color w:val="000000"/>
          <w:sz w:val="22"/>
          <w:szCs w:val="22"/>
          <w:lang w:val="nl-NL"/>
        </w:rPr>
      </w:pPr>
    </w:p>
    <w:p w:rsidR="006610E7" w:rsidRPr="00DC2800" w:rsidRDefault="006610E7" w:rsidP="006610E7">
      <w:pPr>
        <w:pStyle w:val="TemplateHeadline"/>
        <w:rPr>
          <w:rFonts w:asciiTheme="minorHAnsi" w:hAnsiTheme="minorHAnsi" w:cstheme="minorHAnsi"/>
          <w:lang w:val="nl-NL"/>
        </w:rPr>
      </w:pPr>
      <w:r w:rsidRPr="00DC2800">
        <w:rPr>
          <w:rFonts w:asciiTheme="minorHAnsi" w:hAnsiTheme="minorHAnsi" w:cstheme="minorHAnsi"/>
          <w:lang w:val="nl-NL"/>
        </w:rPr>
        <w:t xml:space="preserve">Overwegingen bij de implementatie </w:t>
      </w:r>
    </w:p>
    <w:p w:rsidR="006610E7" w:rsidRPr="00DC2800" w:rsidRDefault="006610E7" w:rsidP="006610E7">
      <w:pPr>
        <w:pStyle w:val="TemplateHeadline"/>
        <w:rPr>
          <w:rFonts w:asciiTheme="minorHAnsi" w:hAnsiTheme="minorHAnsi" w:cstheme="minorHAnsi"/>
          <w:color w:val="000000"/>
          <w:sz w:val="22"/>
          <w:szCs w:val="22"/>
          <w:lang w:val="nl-NL"/>
        </w:rPr>
      </w:pPr>
      <w:r w:rsidRPr="00DC2800">
        <w:rPr>
          <w:rFonts w:asciiTheme="minorHAnsi" w:hAnsiTheme="minorHAnsi" w:cstheme="minorHAnsi"/>
          <w:color w:val="000000"/>
          <w:sz w:val="22"/>
          <w:szCs w:val="22"/>
          <w:lang w:val="nl-NL"/>
        </w:rPr>
        <w:t xml:space="preserve">Internal auditors mogen uitsluitend —schriftelijk of mondeling — communiceren dat de internal auditfunctie in overeenstemming is met de Standaarden indien resultaten van het QAIP, inclusief zowel de interne als de externe evaluatieresultaten, een dergelijke verklaring ondersteunen. Zodra een externe evaluatie overeenstemming met de Standaarden valideert, kan de internal auditfunctie de verklaring blijven gebruiken — zolang interne evaluaties een dergelijke verklaring blijven ondersteunen — tot de volgende externe evaluatie. </w:t>
      </w:r>
    </w:p>
    <w:p w:rsidR="006610E7" w:rsidRPr="00DC2800" w:rsidRDefault="006610E7" w:rsidP="006610E7">
      <w:pPr>
        <w:pStyle w:val="TemplateHeadline"/>
        <w:rPr>
          <w:rFonts w:asciiTheme="minorHAnsi" w:hAnsiTheme="minorHAnsi" w:cstheme="minorHAnsi"/>
          <w:color w:val="000000"/>
          <w:sz w:val="22"/>
          <w:szCs w:val="22"/>
          <w:lang w:val="nl-NL"/>
        </w:rPr>
      </w:pPr>
      <w:r w:rsidRPr="00DC2800">
        <w:rPr>
          <w:rFonts w:asciiTheme="minorHAnsi" w:hAnsiTheme="minorHAnsi" w:cstheme="minorHAnsi"/>
          <w:color w:val="000000"/>
          <w:sz w:val="22"/>
          <w:szCs w:val="22"/>
          <w:lang w:val="nl-NL"/>
        </w:rPr>
        <w:t>De volgende scenario's demonstreren het juiste gebruik van de nalevingsverklaring:</w:t>
      </w:r>
    </w:p>
    <w:p w:rsidR="006610E7" w:rsidRPr="00DC2800" w:rsidRDefault="006610E7" w:rsidP="006610E7">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C2800">
        <w:rPr>
          <w:rFonts w:asciiTheme="minorHAnsi" w:hAnsiTheme="minorHAnsi" w:cstheme="minorHAnsi"/>
          <w:sz w:val="22"/>
          <w:szCs w:val="22"/>
          <w:lang w:val="nl-NL"/>
        </w:rPr>
        <w:t xml:space="preserve">Indien de resultaten van hetzij de huidige interne evaluatie of de meest recente externe evaluatie geen algemene naleving van de </w:t>
      </w:r>
      <w:r w:rsidRPr="00DC2800">
        <w:rPr>
          <w:rFonts w:asciiTheme="minorHAnsi" w:hAnsiTheme="minorHAnsi" w:cstheme="minorHAnsi"/>
          <w:i/>
          <w:iCs/>
          <w:sz w:val="22"/>
          <w:szCs w:val="22"/>
          <w:lang w:val="nl-NL"/>
        </w:rPr>
        <w:t xml:space="preserve">Standaarden </w:t>
      </w:r>
      <w:r w:rsidRPr="00DC2800">
        <w:rPr>
          <w:rFonts w:asciiTheme="minorHAnsi" w:hAnsiTheme="minorHAnsi" w:cstheme="minorHAnsi"/>
          <w:sz w:val="22"/>
          <w:szCs w:val="22"/>
          <w:lang w:val="nl-NL"/>
        </w:rPr>
        <w:t>en de Gedragscode van het IIA bevestigen, moet de internal auditfunctie niet langer aangeven dat zij in overeenstemming werkt.</w:t>
      </w:r>
    </w:p>
    <w:p w:rsidR="006610E7" w:rsidRPr="00DC2800" w:rsidRDefault="006610E7" w:rsidP="006610E7">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C2800">
        <w:rPr>
          <w:rFonts w:asciiTheme="minorHAnsi" w:hAnsiTheme="minorHAnsi" w:cstheme="minorHAnsi"/>
          <w:sz w:val="22"/>
          <w:szCs w:val="22"/>
          <w:lang w:val="nl-NL"/>
        </w:rPr>
        <w:t xml:space="preserve">Indien een internal auditfunctie ten minste vijf jaar bestaat en geen externe evaluatie heeft afgerond, kan de internal auditfunctie niet aangeven dat zij in overeenstemming met de </w:t>
      </w:r>
      <w:r w:rsidRPr="00DC2800">
        <w:rPr>
          <w:rFonts w:asciiTheme="minorHAnsi" w:hAnsiTheme="minorHAnsi" w:cstheme="minorHAnsi"/>
          <w:i/>
          <w:iCs/>
          <w:sz w:val="22"/>
          <w:szCs w:val="22"/>
          <w:lang w:val="nl-NL"/>
        </w:rPr>
        <w:t>Standaarden</w:t>
      </w:r>
      <w:r w:rsidRPr="00DC2800">
        <w:rPr>
          <w:rFonts w:asciiTheme="minorHAnsi" w:hAnsiTheme="minorHAnsi" w:cstheme="minorHAnsi"/>
          <w:sz w:val="22"/>
          <w:szCs w:val="22"/>
          <w:lang w:val="nl-NL"/>
        </w:rPr>
        <w:t xml:space="preserve"> werkt. </w:t>
      </w:r>
    </w:p>
    <w:p w:rsidR="006610E7" w:rsidRPr="00DC2800" w:rsidRDefault="006610E7" w:rsidP="006610E7">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C2800">
        <w:rPr>
          <w:rFonts w:asciiTheme="minorHAnsi" w:hAnsiTheme="minorHAnsi" w:cstheme="minorHAnsi"/>
          <w:sz w:val="22"/>
          <w:szCs w:val="22"/>
          <w:lang w:val="nl-NL"/>
        </w:rPr>
        <w:t>Indien een internal auditfunctie de afgelopen vijf jaar een externe evaluatie heeft ondergaan, maar geen interne evaluatie heeft uitgevoerd op basis van bekendmakingen aan het bestuur over de frequentie van de interne evaluatie, dient de CAE te overwegen of zij nog steeds in overeenstemming opereert en dient zij, indien dit het geval is, overeenstemming aan te geven onder voorbehoud van validatie door een interne evaluatie.</w:t>
      </w:r>
    </w:p>
    <w:p w:rsidR="006610E7" w:rsidRPr="00DC2800" w:rsidRDefault="006610E7" w:rsidP="006610E7">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C2800">
        <w:rPr>
          <w:rFonts w:asciiTheme="minorHAnsi" w:hAnsiTheme="minorHAnsi" w:cstheme="minorHAnsi"/>
          <w:sz w:val="22"/>
          <w:szCs w:val="22"/>
          <w:lang w:val="nl-NL"/>
        </w:rPr>
        <w:lastRenderedPageBreak/>
        <w:t xml:space="preserve">Een internal auditfunctie die minder dan vijf jaar bestaat, mag uitsluitend aangeven dat zij in overeenstemming met de </w:t>
      </w:r>
      <w:r w:rsidRPr="00DC2800">
        <w:rPr>
          <w:rFonts w:asciiTheme="minorHAnsi" w:hAnsiTheme="minorHAnsi" w:cstheme="minorHAnsi"/>
          <w:i/>
          <w:iCs/>
          <w:sz w:val="22"/>
          <w:szCs w:val="22"/>
          <w:lang w:val="nl-NL"/>
        </w:rPr>
        <w:t xml:space="preserve">Standaarden </w:t>
      </w:r>
      <w:r w:rsidRPr="00DC2800">
        <w:rPr>
          <w:rFonts w:asciiTheme="minorHAnsi" w:hAnsiTheme="minorHAnsi" w:cstheme="minorHAnsi"/>
          <w:sz w:val="22"/>
          <w:szCs w:val="22"/>
          <w:lang w:val="nl-NL"/>
        </w:rPr>
        <w:t xml:space="preserve">werkt indien een gedocumenteerde interne evaluatie (d.w.z., de periodieke zelfevaluatie) deze conclusie ondersteunt. </w:t>
      </w:r>
    </w:p>
    <w:p w:rsidR="006610E7" w:rsidRPr="00DC2800" w:rsidRDefault="006610E7" w:rsidP="006610E7">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C2800">
        <w:rPr>
          <w:rFonts w:asciiTheme="minorHAnsi" w:hAnsiTheme="minorHAnsi" w:cstheme="minorHAnsi"/>
          <w:sz w:val="22"/>
          <w:szCs w:val="22"/>
          <w:lang w:val="nl-NL"/>
        </w:rPr>
        <w:t>Indien de laatste externe evaluatie langer dan vijf jaar geleden is uitgevoerd in overeenstemming met Standaard 1312 – Externe evaluaties, moet de internal auditfunctie niet langer aangeven dat zij in overeenstemming met de standaarden werkt, totdat een actuele externe evaluatie is afgerond en die conclusie ondersteunt.</w:t>
      </w:r>
    </w:p>
    <w:p w:rsidR="006610E7" w:rsidRPr="00DC2800" w:rsidRDefault="006610E7" w:rsidP="006610E7">
      <w:pPr>
        <w:pStyle w:val="RedBullets"/>
        <w:tabs>
          <w:tab w:val="left" w:pos="4320"/>
        </w:tabs>
        <w:suppressAutoHyphens w:val="0"/>
        <w:spacing w:after="180" w:line="360" w:lineRule="atLeast"/>
        <w:contextualSpacing/>
        <w:rPr>
          <w:rFonts w:asciiTheme="minorHAnsi" w:hAnsiTheme="minorHAnsi" w:cstheme="minorHAnsi"/>
          <w:sz w:val="22"/>
          <w:szCs w:val="22"/>
          <w:lang w:val="nl-NL"/>
        </w:rPr>
      </w:pPr>
      <w:r w:rsidRPr="00DC2800">
        <w:rPr>
          <w:rFonts w:asciiTheme="minorHAnsi" w:hAnsiTheme="minorHAnsi" w:cstheme="minorHAnsi"/>
          <w:sz w:val="22"/>
          <w:szCs w:val="22"/>
          <w:lang w:val="nl-NL"/>
        </w:rPr>
        <w:t xml:space="preserve">Indien een externe evaluatie een algemene conclusie weerspiegelt dat de internal auditfunctie niet in overeenstemming was met de </w:t>
      </w:r>
      <w:r w:rsidRPr="00DC2800">
        <w:rPr>
          <w:rFonts w:asciiTheme="minorHAnsi" w:hAnsiTheme="minorHAnsi" w:cstheme="minorHAnsi"/>
          <w:i/>
          <w:iCs/>
          <w:sz w:val="22"/>
          <w:szCs w:val="22"/>
          <w:lang w:val="nl-NL"/>
        </w:rPr>
        <w:t xml:space="preserve">Standaarden </w:t>
      </w:r>
      <w:r w:rsidRPr="00DC2800">
        <w:rPr>
          <w:rFonts w:asciiTheme="minorHAnsi" w:hAnsiTheme="minorHAnsi" w:cstheme="minorHAnsi"/>
          <w:sz w:val="22"/>
          <w:szCs w:val="22"/>
          <w:lang w:val="nl-NL"/>
        </w:rPr>
        <w:t xml:space="preserve">, moet de internal auditfunctie onmiddellijk stoppen met gebruikmaking van eventuele verklaringen die naleving van de </w:t>
      </w:r>
      <w:r w:rsidRPr="00DC2800">
        <w:rPr>
          <w:rFonts w:asciiTheme="minorHAnsi" w:hAnsiTheme="minorHAnsi" w:cstheme="minorHAnsi"/>
          <w:i/>
          <w:iCs/>
          <w:sz w:val="22"/>
          <w:szCs w:val="22"/>
          <w:lang w:val="nl-NL"/>
        </w:rPr>
        <w:t xml:space="preserve">Standaarden </w:t>
      </w:r>
      <w:r w:rsidRPr="00DC2800">
        <w:rPr>
          <w:rFonts w:asciiTheme="minorHAnsi" w:hAnsiTheme="minorHAnsi" w:cstheme="minorHAnsi"/>
          <w:sz w:val="22"/>
          <w:szCs w:val="22"/>
          <w:lang w:val="nl-NL"/>
        </w:rPr>
        <w:t xml:space="preserve">aangeeft. De internal auditfunctie mag het gebruik van een nalevingsverklaring niet hervatten totdat zij de niet-naleving heeft hersteld en een externe evaluatie heeft uitgevoerd om een ​​algemene beoordeling van naleving van de </w:t>
      </w:r>
      <w:r w:rsidRPr="00DC2800">
        <w:rPr>
          <w:rFonts w:asciiTheme="minorHAnsi" w:hAnsiTheme="minorHAnsi" w:cstheme="minorHAnsi"/>
          <w:i/>
          <w:iCs/>
          <w:sz w:val="22"/>
          <w:szCs w:val="22"/>
          <w:lang w:val="nl-NL"/>
        </w:rPr>
        <w:t>Standaarden</w:t>
      </w:r>
      <w:r w:rsidRPr="00DC2800">
        <w:rPr>
          <w:rFonts w:asciiTheme="minorHAnsi" w:hAnsiTheme="minorHAnsi" w:cstheme="minorHAnsi"/>
          <w:sz w:val="22"/>
          <w:szCs w:val="22"/>
          <w:lang w:val="nl-NL"/>
        </w:rPr>
        <w:t xml:space="preserve"> te valideren. </w:t>
      </w:r>
    </w:p>
    <w:p w:rsidR="006610E7" w:rsidRPr="00DC2800" w:rsidRDefault="006610E7" w:rsidP="006610E7">
      <w:pPr>
        <w:pStyle w:val="TemplateBodyText"/>
        <w:rPr>
          <w:rFonts w:asciiTheme="minorHAnsi" w:hAnsiTheme="minorHAnsi" w:cstheme="minorHAnsi"/>
          <w:sz w:val="22"/>
          <w:szCs w:val="22"/>
          <w:lang w:val="nl-NL"/>
        </w:rPr>
      </w:pPr>
      <w:r w:rsidRPr="00DC2800">
        <w:rPr>
          <w:rFonts w:asciiTheme="minorHAnsi" w:hAnsiTheme="minorHAnsi" w:cstheme="minorHAnsi"/>
          <w:sz w:val="22"/>
          <w:szCs w:val="22"/>
          <w:lang w:val="nl-NL"/>
        </w:rPr>
        <w:t xml:space="preserve">Het is belangrijk om op te merken dat de </w:t>
      </w:r>
      <w:r w:rsidRPr="00DC2800">
        <w:rPr>
          <w:rFonts w:asciiTheme="minorHAnsi" w:hAnsiTheme="minorHAnsi" w:cstheme="minorHAnsi"/>
          <w:i/>
          <w:iCs/>
          <w:sz w:val="22"/>
          <w:szCs w:val="22"/>
          <w:lang w:val="nl-NL"/>
        </w:rPr>
        <w:t>Standaarden</w:t>
      </w:r>
      <w:r w:rsidRPr="00DC2800">
        <w:rPr>
          <w:rFonts w:asciiTheme="minorHAnsi" w:hAnsiTheme="minorHAnsi" w:cstheme="minorHAnsi"/>
          <w:sz w:val="22"/>
          <w:szCs w:val="22"/>
          <w:lang w:val="nl-NL"/>
        </w:rPr>
        <w:t xml:space="preserve"> op principes zijn gebaseerd. Bij het beoordelen van naleving van de </w:t>
      </w:r>
      <w:r w:rsidRPr="00DC2800">
        <w:rPr>
          <w:rFonts w:asciiTheme="minorHAnsi" w:hAnsiTheme="minorHAnsi" w:cstheme="minorHAnsi"/>
          <w:i/>
          <w:iCs/>
          <w:sz w:val="22"/>
          <w:szCs w:val="22"/>
          <w:lang w:val="nl-NL"/>
        </w:rPr>
        <w:t xml:space="preserve">Standaarden </w:t>
      </w:r>
      <w:r w:rsidRPr="00DC2800">
        <w:rPr>
          <w:rFonts w:asciiTheme="minorHAnsi" w:hAnsiTheme="minorHAnsi" w:cstheme="minorHAnsi"/>
          <w:sz w:val="22"/>
          <w:szCs w:val="22"/>
          <w:lang w:val="nl-NL"/>
        </w:rPr>
        <w:t xml:space="preserve">, kunnen er situaties zijn waarin de internal auditfunctie alleen gedeeltelijke overeenstemming met een of meer standaarden bereikt. De internal auditfunctie kan een duidelijke bedoeling en inzet tonen om uiteindelijk de kernbeginselen van de beroepsuitoefening van internal auditing te bereiken, waarop de </w:t>
      </w:r>
      <w:r w:rsidRPr="00DC2800">
        <w:rPr>
          <w:rFonts w:asciiTheme="minorHAnsi" w:hAnsiTheme="minorHAnsi" w:cstheme="minorHAnsi"/>
          <w:i/>
          <w:iCs/>
          <w:sz w:val="22"/>
          <w:szCs w:val="22"/>
          <w:lang w:val="nl-NL"/>
        </w:rPr>
        <w:t>Standaarden</w:t>
      </w:r>
      <w:r w:rsidRPr="00DC2800">
        <w:rPr>
          <w:rFonts w:asciiTheme="minorHAnsi" w:hAnsiTheme="minorHAnsi" w:cstheme="minorHAnsi"/>
          <w:sz w:val="22"/>
          <w:szCs w:val="22"/>
          <w:lang w:val="nl-NL"/>
        </w:rPr>
        <w:t xml:space="preserve"> zijn gebaseerd, maar het kan zijn dat er nog enkele verbetermogelijkheden moeten worden benut om volledige overeenstemming te bereiken met de </w:t>
      </w:r>
      <w:r w:rsidRPr="00DC2800">
        <w:rPr>
          <w:rFonts w:asciiTheme="minorHAnsi" w:hAnsiTheme="minorHAnsi" w:cstheme="minorHAnsi"/>
          <w:i/>
          <w:iCs/>
          <w:sz w:val="22"/>
          <w:szCs w:val="22"/>
          <w:lang w:val="nl-NL"/>
        </w:rPr>
        <w:t>Standaarden</w:t>
      </w:r>
      <w:r w:rsidRPr="00DC2800">
        <w:rPr>
          <w:rFonts w:asciiTheme="minorHAnsi" w:hAnsiTheme="minorHAnsi" w:cstheme="minorHAnsi"/>
          <w:sz w:val="22"/>
          <w:szCs w:val="22"/>
          <w:lang w:val="nl-NL"/>
        </w:rPr>
        <w:t xml:space="preserve">. In dergelijke gevallen dient de internal auditfunctie het algemene oordeel over de naleving te overwegen bij de vaststelling of zij de nalevingsverklaring kan gebruiken. </w:t>
      </w:r>
    </w:p>
    <w:p w:rsidR="00E90A08" w:rsidRPr="00DC2800" w:rsidRDefault="006610E7" w:rsidP="00E90A08">
      <w:pPr>
        <w:pStyle w:val="TemplateBodyText"/>
        <w:rPr>
          <w:rFonts w:asciiTheme="minorHAnsi" w:hAnsiTheme="minorHAnsi" w:cstheme="minorHAnsi"/>
          <w:sz w:val="22"/>
          <w:szCs w:val="22"/>
          <w:lang w:val="nl-NL"/>
        </w:rPr>
      </w:pPr>
      <w:r w:rsidRPr="00DC2800">
        <w:rPr>
          <w:rFonts w:asciiTheme="minorHAnsi" w:hAnsiTheme="minorHAnsi" w:cstheme="minorHAnsi"/>
          <w:sz w:val="22"/>
          <w:szCs w:val="22"/>
          <w:lang w:val="nl-NL"/>
        </w:rPr>
        <w:t xml:space="preserve">In een situatie waarin een specifieke opdracht niet voldoet aan de </w:t>
      </w:r>
      <w:r w:rsidRPr="00DC2800">
        <w:rPr>
          <w:rFonts w:asciiTheme="minorHAnsi" w:hAnsiTheme="minorHAnsi" w:cstheme="minorHAnsi"/>
          <w:i/>
          <w:iCs/>
          <w:sz w:val="22"/>
          <w:szCs w:val="22"/>
          <w:lang w:val="nl-NL"/>
        </w:rPr>
        <w:t>Standaarden</w:t>
      </w:r>
      <w:r w:rsidRPr="00DC2800">
        <w:rPr>
          <w:rFonts w:asciiTheme="minorHAnsi" w:hAnsiTheme="minorHAnsi" w:cstheme="minorHAnsi"/>
          <w:sz w:val="22"/>
          <w:szCs w:val="22"/>
          <w:lang w:val="nl-NL"/>
        </w:rPr>
        <w:t xml:space="preserve">, kan de internal auditfunctie verplicht zijn het gebrek aan naleving te melden. De CAE is verantwoordelijk voor het melden van dergelijke gevallen van niet-naleving. Implementatierichtlijn 1322 - Melding van niet-naleving biedt aanvullende informatie over niet-naleving van de </w:t>
      </w:r>
      <w:r w:rsidRPr="00DC2800">
        <w:rPr>
          <w:rFonts w:asciiTheme="minorHAnsi" w:hAnsiTheme="minorHAnsi" w:cstheme="minorHAnsi"/>
          <w:i/>
          <w:iCs/>
          <w:sz w:val="22"/>
          <w:szCs w:val="22"/>
          <w:lang w:val="nl-NL"/>
        </w:rPr>
        <w:t>Standaarden</w:t>
      </w:r>
      <w:r w:rsidR="00E90A08" w:rsidRPr="00DC2800">
        <w:rPr>
          <w:rFonts w:asciiTheme="minorHAnsi" w:hAnsiTheme="minorHAnsi" w:cstheme="minorHAnsi"/>
          <w:sz w:val="22"/>
          <w:szCs w:val="22"/>
          <w:lang w:val="nl-NL"/>
        </w:rPr>
        <w:t>.</w:t>
      </w:r>
    </w:p>
    <w:p w:rsidR="002F57B5" w:rsidRPr="00DC2800" w:rsidRDefault="002F57B5" w:rsidP="002F57B5">
      <w:pPr>
        <w:pStyle w:val="TemplateHeadline"/>
        <w:rPr>
          <w:rFonts w:asciiTheme="minorHAnsi" w:hAnsiTheme="minorHAnsi" w:cstheme="minorHAnsi"/>
          <w:color w:val="000000"/>
          <w:sz w:val="22"/>
          <w:szCs w:val="22"/>
          <w:lang w:val="nl-NL"/>
        </w:rPr>
      </w:pPr>
    </w:p>
    <w:p w:rsidR="002F57B5" w:rsidRPr="00DC2800" w:rsidRDefault="00685768" w:rsidP="002F57B5">
      <w:pPr>
        <w:pStyle w:val="TemplateHeadline"/>
        <w:rPr>
          <w:rFonts w:asciiTheme="minorHAnsi" w:hAnsiTheme="minorHAnsi" w:cstheme="minorHAnsi"/>
          <w:lang w:val="nl-NL"/>
        </w:rPr>
      </w:pPr>
      <w:r w:rsidRPr="00DC2800">
        <w:rPr>
          <w:rFonts w:asciiTheme="minorHAnsi" w:hAnsiTheme="minorHAnsi" w:cstheme="minorHAnsi"/>
          <w:lang w:val="nl-NL"/>
        </w:rPr>
        <w:t>Overwegingen b</w:t>
      </w:r>
      <w:r w:rsidR="002F57B5" w:rsidRPr="00DC2800">
        <w:rPr>
          <w:rFonts w:asciiTheme="minorHAnsi" w:hAnsiTheme="minorHAnsi" w:cstheme="minorHAnsi"/>
          <w:lang w:val="nl-NL"/>
        </w:rPr>
        <w:t>ij het aantonen van de naleving</w:t>
      </w:r>
    </w:p>
    <w:p w:rsidR="006610E7" w:rsidRPr="00DC2800" w:rsidRDefault="006610E7" w:rsidP="00443735">
      <w:pPr>
        <w:pStyle w:val="TemplateBodyText"/>
        <w:rPr>
          <w:rFonts w:asciiTheme="minorHAnsi" w:hAnsiTheme="minorHAnsi" w:cstheme="minorHAnsi"/>
          <w:sz w:val="22"/>
          <w:szCs w:val="22"/>
          <w:lang w:val="nl-NL"/>
        </w:rPr>
      </w:pPr>
      <w:r w:rsidRPr="00DC2800">
        <w:rPr>
          <w:rFonts w:asciiTheme="minorHAnsi" w:hAnsiTheme="minorHAnsi" w:cstheme="minorHAnsi"/>
          <w:sz w:val="22"/>
          <w:szCs w:val="22"/>
          <w:lang w:val="nl-NL"/>
        </w:rPr>
        <w:t xml:space="preserve">Meerdere zaken kunnen naleving van Standaard 1321 aangeven, inclusief kopieën van interne en externe evaluaties waarin de beoordelaar concludeert dat de internal auditfunctie naleving van de </w:t>
      </w:r>
      <w:r w:rsidRPr="00DC2800">
        <w:rPr>
          <w:rFonts w:asciiTheme="minorHAnsi" w:hAnsiTheme="minorHAnsi" w:cstheme="minorHAnsi"/>
          <w:i/>
          <w:iCs/>
          <w:sz w:val="22"/>
          <w:szCs w:val="22"/>
          <w:lang w:val="nl-NL"/>
        </w:rPr>
        <w:lastRenderedPageBreak/>
        <w:t xml:space="preserve">Standaarden </w:t>
      </w:r>
      <w:r w:rsidRPr="00DC2800">
        <w:rPr>
          <w:rFonts w:asciiTheme="minorHAnsi" w:hAnsiTheme="minorHAnsi" w:cstheme="minorHAnsi"/>
          <w:sz w:val="22"/>
          <w:szCs w:val="22"/>
          <w:lang w:val="nl-NL"/>
        </w:rPr>
        <w:t xml:space="preserve">heeft bereikt. Opdrachtrapporten, het internal auditcharter, </w:t>
      </w:r>
      <w:proofErr w:type="spellStart"/>
      <w:r w:rsidRPr="00DC2800">
        <w:rPr>
          <w:rFonts w:asciiTheme="minorHAnsi" w:hAnsiTheme="minorHAnsi" w:cstheme="minorHAnsi"/>
          <w:sz w:val="22"/>
          <w:szCs w:val="22"/>
          <w:lang w:val="nl-NL"/>
        </w:rPr>
        <w:t>bestuursmaterialen</w:t>
      </w:r>
      <w:proofErr w:type="spellEnd"/>
      <w:r w:rsidRPr="00DC2800">
        <w:rPr>
          <w:rFonts w:asciiTheme="minorHAnsi" w:hAnsiTheme="minorHAnsi" w:cstheme="minorHAnsi"/>
          <w:sz w:val="22"/>
          <w:szCs w:val="22"/>
          <w:lang w:val="nl-NL"/>
        </w:rPr>
        <w:t xml:space="preserve"> en notulen van vergaderingen en andere communicaties kunnen ook helpen om naleving van deze standaard aan te tonen</w:t>
      </w:r>
      <w:r w:rsidR="0075319D" w:rsidRPr="00DC2800">
        <w:rPr>
          <w:rFonts w:asciiTheme="minorHAnsi" w:hAnsiTheme="minorHAnsi" w:cstheme="minorHAnsi"/>
          <w:sz w:val="22"/>
          <w:szCs w:val="22"/>
          <w:lang w:val="nl-NL"/>
        </w:rPr>
        <w:t>.</w:t>
      </w:r>
    </w:p>
    <w:p w:rsidR="002F57B5" w:rsidRPr="00DC2800" w:rsidRDefault="00685768" w:rsidP="00443735">
      <w:pPr>
        <w:pStyle w:val="TemplateBodyText"/>
        <w:rPr>
          <w:rFonts w:asciiTheme="minorHAnsi" w:hAnsiTheme="minorHAnsi" w:cstheme="minorHAnsi"/>
          <w:lang w:val="nl-NL"/>
        </w:rPr>
      </w:pPr>
      <w:bookmarkStart w:id="0" w:name="_GoBack"/>
      <w:bookmarkEnd w:id="0"/>
      <w:r w:rsidRPr="00DC2800">
        <w:rPr>
          <w:rFonts w:asciiTheme="minorHAnsi" w:hAnsiTheme="minorHAnsi" w:cstheme="minorHAnsi"/>
          <w:noProof/>
          <w:lang w:val="nl-NL" w:eastAsia="nl-NL"/>
        </w:rPr>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4048125</wp:posOffset>
                </wp:positionV>
                <wp:extent cx="6400800" cy="51816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81600"/>
                        </a:xfrm>
                        <a:prstGeom prst="rect">
                          <a:avLst/>
                        </a:prstGeom>
                        <a:solidFill>
                          <a:sysClr val="window" lastClr="FFFFFF">
                            <a:lumMod val="85000"/>
                          </a:sysClr>
                        </a:solid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18.75pt;width:7in;height:408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p>
    <w:sectPr w:rsidR="002F57B5" w:rsidRPr="00DC2800"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DC2800">
      <w:rPr>
        <w:rStyle w:val="Paginanummer"/>
        <w:noProof/>
        <w:color w:val="535953"/>
        <w:sz w:val="16"/>
        <w:szCs w:val="16"/>
      </w:rPr>
      <w:t>4</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DC2800">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408F">
    <w:r>
      <w:rPr>
        <w:noProof/>
        <w:lang w:val="nl-NL" w:eastAsia="nl-NL"/>
      </w:rPr>
      <w:drawing>
        <wp:anchor distT="0" distB="0" distL="114300" distR="114300" simplePos="0" relativeHeight="251658240" behindDoc="1" locked="0" layoutInCell="1" allowOverlap="1">
          <wp:simplePos x="0" y="0"/>
          <wp:positionH relativeFrom="page">
            <wp:align>right</wp:align>
          </wp:positionH>
          <wp:positionV relativeFrom="page">
            <wp:posOffset>200025</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2F57B5">
      <w:rPr>
        <w:noProof/>
        <w:lang w:val="nl-NL" w:eastAsia="nl-NL"/>
      </w:rPr>
      <mc:AlternateContent>
        <mc:Choice Requires="wps">
          <w:drawing>
            <wp:anchor distT="0" distB="0" distL="114300" distR="114300" simplePos="0" relativeHeight="251659264" behindDoc="0" locked="0" layoutInCell="1" allowOverlap="1">
              <wp:simplePos x="0" y="0"/>
              <wp:positionH relativeFrom="margin">
                <wp:posOffset>228600</wp:posOffset>
              </wp:positionH>
              <wp:positionV relativeFrom="topMargin">
                <wp:posOffset>628650</wp:posOffset>
              </wp:positionV>
              <wp:extent cx="6343650" cy="533400"/>
              <wp:effectExtent l="0" t="0" r="0" b="0"/>
              <wp:wrapThrough wrapText="bothSides">
                <wp:wrapPolygon edited="0">
                  <wp:start x="130" y="0"/>
                  <wp:lineTo x="130" y="20829"/>
                  <wp:lineTo x="21405" y="20829"/>
                  <wp:lineTo x="21405" y="0"/>
                  <wp:lineTo x="130" y="0"/>
                </wp:wrapPolygon>
              </wp:wrapThrough>
              <wp:docPr id="3" name="Text Box 3"/>
              <wp:cNvGraphicFramePr/>
              <a:graphic xmlns:a="http://schemas.openxmlformats.org/drawingml/2006/main">
                <a:graphicData uri="http://schemas.microsoft.com/office/word/2010/wordprocessingShape">
                  <wps:wsp>
                    <wps:cNvSpPr txBox="1"/>
                    <wps:spPr>
                      <a:xfrm>
                        <a:off x="0" y="0"/>
                        <a:ext cx="6343650" cy="5334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DC2800">
                            <w:rPr>
                              <w:rFonts w:ascii="Arial" w:hAnsi="Arial" w:cs="Arial"/>
                              <w:color w:val="0F1F4B"/>
                              <w:lang w:val="nl-NL"/>
                            </w:rPr>
                            <w:t>1321 -</w:t>
                          </w:r>
                          <w:r w:rsidR="002F408F" w:rsidRPr="002F408F">
                            <w:rPr>
                              <w:rFonts w:ascii="Arial" w:hAnsi="Arial" w:cs="Arial"/>
                              <w:color w:val="0F1F4B"/>
                              <w:lang w:val="nl-NL"/>
                            </w:rPr>
                            <w:t xml:space="preserve"> Gebruik van de uitdrukking 'In overeenstemming met de internationale standaarden voor de beroepsuitoefening van internal auditing'</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8pt;margin-top:49.5pt;width:499.5pt;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" filled="f" stroked="f">
              <v:textbox>
                <w:txbxContent>
                  <w:p w:rsidR="002F57B5" w:rsidRPr="006227FD" w:rsidRDefault="00AA0CBD">
                    <w:pPr>
                      <w:rPr>
                        <w:rFonts w:ascii="Arial" w:hAnsi="Arial" w:cs="Arial"/>
                        <w:color w:val="002239" w:themeColor="text2" w:themeShade="80"/>
                      </w:rPr>
                    </w:pPr>
                    <w:r>
                      <w:rPr>
                        <w:rFonts w:ascii="Arial" w:hAnsi="Arial" w:cs="Arial"/>
                        <w:color w:val="0F1F4B"/>
                        <w:lang w:val="nl-NL"/>
                      </w:rPr>
                      <w:t xml:space="preserve">Implementatierichtlijn </w:t>
                    </w:r>
                    <w:r w:rsidR="00DC2800">
                      <w:rPr>
                        <w:rFonts w:ascii="Arial" w:hAnsi="Arial" w:cs="Arial"/>
                        <w:color w:val="0F1F4B"/>
                        <w:lang w:val="nl-NL"/>
                      </w:rPr>
                      <w:t>1321 -</w:t>
                    </w:r>
                    <w:r w:rsidR="002F408F" w:rsidRPr="002F408F">
                      <w:rPr>
                        <w:rFonts w:ascii="Arial" w:hAnsi="Arial" w:cs="Arial"/>
                        <w:color w:val="0F1F4B"/>
                        <w:lang w:val="nl-NL"/>
                      </w:rPr>
                      <w:t xml:space="preserve"> Gebruik van de uitdrukking 'In overeenstemming met de internationale standaarden voor de beroepsuitoefening van internal auditing'</w:t>
                    </w:r>
                  </w:p>
                </w:txbxContent>
              </v:textbox>
              <w10:wrap type="through"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align>right</wp:align>
          </wp:positionH>
          <wp:positionV relativeFrom="page">
            <wp:align>top</wp:align>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1"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2"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0C60D4"/>
    <w:rsid w:val="001B11A8"/>
    <w:rsid w:val="00212A7E"/>
    <w:rsid w:val="00284E07"/>
    <w:rsid w:val="002C0B84"/>
    <w:rsid w:val="002F408F"/>
    <w:rsid w:val="002F57B5"/>
    <w:rsid w:val="00443735"/>
    <w:rsid w:val="005A0CAD"/>
    <w:rsid w:val="005C501B"/>
    <w:rsid w:val="006610E7"/>
    <w:rsid w:val="00665553"/>
    <w:rsid w:val="00685768"/>
    <w:rsid w:val="0075319D"/>
    <w:rsid w:val="0081412E"/>
    <w:rsid w:val="008F2569"/>
    <w:rsid w:val="0097657B"/>
    <w:rsid w:val="00A4009B"/>
    <w:rsid w:val="00A96503"/>
    <w:rsid w:val="00AA0CBD"/>
    <w:rsid w:val="00BC3D33"/>
    <w:rsid w:val="00C6368B"/>
    <w:rsid w:val="00DC2800"/>
    <w:rsid w:val="00DF51BE"/>
    <w:rsid w:val="00E90A08"/>
    <w:rsid w:val="00FF046F"/>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B01FFE"/>
    <w:pPr>
      <w:numPr>
        <w:numId w:val="3"/>
      </w:numPr>
    </w:p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Geenafstand">
    <w:name w:val="No Spacing"/>
    <w:uiPriority w:val="1"/>
    <w:qFormat/>
    <w:rsid w:val="00FF046F"/>
  </w:style>
  <w:style w:type="character" w:customStyle="1" w:styleId="TemplateBodyTextChar">
    <w:name w:val="Template Body Text Char"/>
    <w:basedOn w:val="PlattetekstChar"/>
    <w:link w:val="TemplateBodyText"/>
    <w:uiPriority w:val="99"/>
    <w:rsid w:val="00E90A08"/>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084B65-197B-445E-8F61-81A767011A76}">
  <ds:schemaRefs>
    <ds:schemaRef ds:uri="http://schemas.openxmlformats.org/officeDocument/2006/bibliography"/>
  </ds:schemaRefs>
</ds:datastoreItem>
</file>

<file path=customXml/itemProps2.xml><?xml version="1.0" encoding="utf-8"?>
<ds:datastoreItem xmlns:ds="http://schemas.openxmlformats.org/officeDocument/2006/customXml" ds:itemID="{1B613BCA-3C83-449C-A5CE-5AE14E82F814}"/>
</file>

<file path=customXml/itemProps3.xml><?xml version="1.0" encoding="utf-8"?>
<ds:datastoreItem xmlns:ds="http://schemas.openxmlformats.org/officeDocument/2006/customXml" ds:itemID="{799FA5FB-4457-4CB9-A300-507B06C5AB02}"/>
</file>

<file path=customXml/itemProps4.xml><?xml version="1.0" encoding="utf-8"?>
<ds:datastoreItem xmlns:ds="http://schemas.openxmlformats.org/officeDocument/2006/customXml" ds:itemID="{47495DC8-ED26-4598-8B45-55DE820102A9}"/>
</file>

<file path=docProps/app.xml><?xml version="1.0" encoding="utf-8"?>
<Properties xmlns="http://schemas.openxmlformats.org/officeDocument/2006/extended-properties" xmlns:vt="http://schemas.openxmlformats.org/officeDocument/2006/docPropsVTypes">
  <Template>8F4EBB7C</Template>
  <TotalTime>4</TotalTime>
  <Pages>4</Pages>
  <Words>807</Words>
  <Characters>4443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Citro</dc:creator>
  <cp:lastModifiedBy>Linda Poort</cp:lastModifiedBy>
  <cp:revision>7</cp:revision>
  <dcterms:created xsi:type="dcterms:W3CDTF">2017-08-18T12:48:00Z</dcterms:created>
  <dcterms:modified xsi:type="dcterms:W3CDTF">2017-08-21T13:00:00Z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