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C525F8" w:rsidRDefault="00C6368B" w:rsidP="00FF046F">
      <w:pPr>
        <w:pStyle w:val="Geenafstand"/>
        <w:rPr>
          <w:rFonts w:cstheme="minorHAnsi"/>
          <w:lang w:val="nl-NL"/>
        </w:rPr>
      </w:pPr>
      <w:bookmarkStart w:id="0" w:name="_GoBack"/>
      <w:bookmarkEnd w:id="0"/>
      <w:r w:rsidRPr="00C525F8">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1532890</wp:posOffset>
                </wp:positionV>
                <wp:extent cx="6400800" cy="40290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0290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5B628D" w:rsidRPr="005B628D">
                              <w:rPr>
                                <w:rFonts w:asciiTheme="majorHAnsi" w:hAnsiTheme="majorHAnsi" w:cstheme="majorHAnsi"/>
                                <w:lang w:val="nl-NL"/>
                              </w:rPr>
                              <w:t>2030 – Beheer van middelen</w:t>
                            </w:r>
                          </w:p>
                          <w:p w:rsidR="005B628D" w:rsidRPr="00C525F8" w:rsidRDefault="005B628D" w:rsidP="005B628D">
                            <w:pPr>
                              <w:pStyle w:val="RedBullets"/>
                              <w:numPr>
                                <w:ilvl w:val="0"/>
                                <w:numId w:val="0"/>
                              </w:numPr>
                              <w:rPr>
                                <w:rFonts w:asciiTheme="majorHAnsi" w:hAnsiTheme="majorHAnsi" w:cstheme="majorHAnsi"/>
                                <w:sz w:val="22"/>
                                <w:szCs w:val="22"/>
                                <w:lang w:val="nl-NL"/>
                              </w:rPr>
                            </w:pPr>
                            <w:r w:rsidRPr="00C525F8">
                              <w:rPr>
                                <w:rFonts w:asciiTheme="majorHAnsi" w:hAnsiTheme="majorHAnsi" w:cstheme="majorHAnsi"/>
                                <w:sz w:val="22"/>
                                <w:szCs w:val="22"/>
                                <w:lang w:val="nl-NL"/>
                              </w:rPr>
                              <w:t>Het hoofd van de internal-auditfunctie moet ervoor zorgen dat de internal-auditfunctie beschikt over passende, toereikende en doelmatig aangewende middelen om het goedgekeurde plan te realiseren.</w:t>
                            </w:r>
                          </w:p>
                          <w:p w:rsidR="005B628D" w:rsidRPr="00C525F8" w:rsidRDefault="005B628D" w:rsidP="005B628D">
                            <w:pPr>
                              <w:pStyle w:val="RedBullets"/>
                              <w:numPr>
                                <w:ilvl w:val="0"/>
                                <w:numId w:val="0"/>
                              </w:numPr>
                              <w:rPr>
                                <w:rFonts w:asciiTheme="majorHAnsi" w:hAnsiTheme="majorHAnsi" w:cstheme="majorHAnsi"/>
                                <w:sz w:val="22"/>
                                <w:szCs w:val="22"/>
                                <w:lang w:val="nl-NL"/>
                              </w:rPr>
                            </w:pPr>
                          </w:p>
                          <w:p w:rsidR="005B628D" w:rsidRDefault="005B628D" w:rsidP="005B628D">
                            <w:pPr>
                              <w:pStyle w:val="RedBullets"/>
                              <w:numPr>
                                <w:ilvl w:val="0"/>
                                <w:numId w:val="0"/>
                              </w:numPr>
                              <w:ind w:left="360" w:hanging="360"/>
                              <w:rPr>
                                <w:rFonts w:asciiTheme="majorHAnsi" w:hAnsiTheme="majorHAnsi" w:cstheme="majorHAnsi"/>
                                <w:b/>
                                <w:sz w:val="22"/>
                                <w:szCs w:val="22"/>
                                <w:lang w:val="nl-NL"/>
                              </w:rPr>
                            </w:pPr>
                            <w:r w:rsidRPr="00C525F8">
                              <w:rPr>
                                <w:rFonts w:asciiTheme="majorHAnsi" w:hAnsiTheme="majorHAnsi" w:cstheme="majorHAnsi"/>
                                <w:b/>
                                <w:sz w:val="22"/>
                                <w:szCs w:val="22"/>
                                <w:lang w:val="nl-NL"/>
                              </w:rPr>
                              <w:t>Interpretatie:</w:t>
                            </w:r>
                          </w:p>
                          <w:p w:rsidR="00C525F8" w:rsidRPr="00C525F8" w:rsidRDefault="00C525F8" w:rsidP="005B628D">
                            <w:pPr>
                              <w:pStyle w:val="RedBullets"/>
                              <w:numPr>
                                <w:ilvl w:val="0"/>
                                <w:numId w:val="0"/>
                              </w:numPr>
                              <w:ind w:left="360" w:hanging="360"/>
                              <w:rPr>
                                <w:rFonts w:asciiTheme="majorHAnsi" w:hAnsiTheme="majorHAnsi" w:cstheme="majorHAnsi"/>
                                <w:b/>
                                <w:sz w:val="22"/>
                                <w:szCs w:val="22"/>
                                <w:lang w:val="nl-NL"/>
                              </w:rPr>
                            </w:pPr>
                          </w:p>
                          <w:p w:rsidR="00665553" w:rsidRPr="00C525F8" w:rsidRDefault="005B628D" w:rsidP="005B628D">
                            <w:pPr>
                              <w:pStyle w:val="RedBullets"/>
                              <w:numPr>
                                <w:ilvl w:val="0"/>
                                <w:numId w:val="0"/>
                              </w:numPr>
                              <w:rPr>
                                <w:rFonts w:asciiTheme="majorHAnsi" w:hAnsiTheme="majorHAnsi" w:cstheme="majorHAnsi"/>
                                <w:sz w:val="22"/>
                                <w:szCs w:val="22"/>
                                <w:lang w:val="nl-NL"/>
                              </w:rPr>
                            </w:pPr>
                            <w:r w:rsidRPr="00C525F8">
                              <w:rPr>
                                <w:rFonts w:asciiTheme="majorHAnsi" w:hAnsiTheme="majorHAnsi" w:cstheme="majorHAnsi"/>
                                <w:i/>
                                <w:sz w:val="22"/>
                                <w:szCs w:val="22"/>
                                <w:lang w:val="nl-NL"/>
                              </w:rPr>
                              <w:t>‘Passend’ verwijst naar de mix van kennis, vaardigheden en overige competenties die nodig zijn voor het uitvoeren van het plan. ‘Toereikend’ verwijst naar de hoeveelheid middelen die nodig is voor het uitvoeren van het plan. Middelen worden doelmatig ingezet wanneer ze worden gebruikt op een manier die de uitvoering van het goedgekeurde plan optimaliseert</w:t>
                            </w:r>
                            <w:r w:rsidRPr="00C525F8">
                              <w:rPr>
                                <w:rFonts w:asciiTheme="majorHAnsi" w:hAnsiTheme="majorHAnsi" w:cstheme="majorHAnsi"/>
                                <w:sz w:val="22"/>
                                <w:szCs w:val="22"/>
                                <w:lang w:val="nl-NL"/>
                              </w:rPr>
                              <w:t>.</w:t>
                            </w:r>
                          </w:p>
                          <w:p w:rsidR="005A0CAD" w:rsidRPr="00C525F8" w:rsidRDefault="005A0CAD" w:rsidP="002F57B5">
                            <w:pPr>
                              <w:pStyle w:val="RedBullets"/>
                              <w:numPr>
                                <w:ilvl w:val="0"/>
                                <w:numId w:val="0"/>
                              </w:numPr>
                              <w:rPr>
                                <w:rFonts w:asciiTheme="majorHAnsi" w:hAnsiTheme="majorHAnsi" w:cstheme="majorHAnsi"/>
                                <w:sz w:val="22"/>
                                <w:szCs w:val="22"/>
                              </w:rPr>
                            </w:pPr>
                          </w:p>
                          <w:p w:rsidR="002F57B5" w:rsidRPr="00C525F8" w:rsidRDefault="005B628D" w:rsidP="005B628D">
                            <w:pPr>
                              <w:pStyle w:val="RedBullets"/>
                              <w:numPr>
                                <w:ilvl w:val="0"/>
                                <w:numId w:val="0"/>
                              </w:numPr>
                              <w:jc w:val="right"/>
                              <w:rPr>
                                <w:rFonts w:asciiTheme="majorHAnsi" w:hAnsiTheme="majorHAnsi" w:cstheme="majorHAnsi"/>
                                <w:sz w:val="22"/>
                                <w:szCs w:val="22"/>
                              </w:rPr>
                            </w:pPr>
                            <w:r w:rsidRPr="00C525F8">
                              <w:rPr>
                                <w:rFonts w:asciiTheme="majorHAnsi" w:hAnsiTheme="majorHAnsi" w:cstheme="majorHAnsi"/>
                                <w:sz w:val="22"/>
                                <w:szCs w:val="22"/>
                              </w:rPr>
                              <w:t xml:space="preserve">Herziene </w:t>
                            </w:r>
                            <w:r w:rsidRPr="00BB13E2">
                              <w:rPr>
                                <w:rFonts w:asciiTheme="majorHAnsi" w:hAnsiTheme="majorHAnsi" w:cstheme="majorHAnsi"/>
                                <w:i/>
                                <w:sz w:val="22"/>
                                <w:szCs w:val="22"/>
                              </w:rPr>
                              <w:t>Standaarden</w:t>
                            </w:r>
                            <w:r w:rsidRPr="00C525F8">
                              <w:rPr>
                                <w:rFonts w:asciiTheme="majorHAnsi" w:hAnsiTheme="majorHAnsi" w:cstheme="majorHAnsi"/>
                                <w:sz w:val="22"/>
                                <w:szCs w:val="22"/>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7pt;width:7in;height:317.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5B628D" w:rsidRPr="005B628D">
                        <w:rPr>
                          <w:rFonts w:asciiTheme="majorHAnsi" w:hAnsiTheme="majorHAnsi" w:cstheme="majorHAnsi"/>
                          <w:lang w:val="nl-NL"/>
                        </w:rPr>
                        <w:t>2030 – Beheer van middelen</w:t>
                      </w:r>
                    </w:p>
                    <w:p w:rsidR="005B628D" w:rsidRPr="00C525F8" w:rsidRDefault="005B628D" w:rsidP="005B628D">
                      <w:pPr>
                        <w:pStyle w:val="RedBullets"/>
                        <w:numPr>
                          <w:ilvl w:val="0"/>
                          <w:numId w:val="0"/>
                        </w:numPr>
                        <w:rPr>
                          <w:rFonts w:asciiTheme="majorHAnsi" w:hAnsiTheme="majorHAnsi" w:cstheme="majorHAnsi"/>
                          <w:sz w:val="22"/>
                          <w:szCs w:val="22"/>
                          <w:lang w:val="nl-NL"/>
                        </w:rPr>
                      </w:pPr>
                      <w:r w:rsidRPr="00C525F8">
                        <w:rPr>
                          <w:rFonts w:asciiTheme="majorHAnsi" w:hAnsiTheme="majorHAnsi" w:cstheme="majorHAnsi"/>
                          <w:sz w:val="22"/>
                          <w:szCs w:val="22"/>
                          <w:lang w:val="nl-NL"/>
                        </w:rPr>
                        <w:t>Het hoofd van de internal-auditfunctie moet ervoor zorgen dat de internal-auditfunctie beschikt over passende, toereikende en doelmatig aangewende middelen om het goedgekeurde plan te realiseren.</w:t>
                      </w:r>
                    </w:p>
                    <w:p w:rsidR="005B628D" w:rsidRPr="00C525F8" w:rsidRDefault="005B628D" w:rsidP="005B628D">
                      <w:pPr>
                        <w:pStyle w:val="RedBullets"/>
                        <w:numPr>
                          <w:ilvl w:val="0"/>
                          <w:numId w:val="0"/>
                        </w:numPr>
                        <w:rPr>
                          <w:rFonts w:asciiTheme="majorHAnsi" w:hAnsiTheme="majorHAnsi" w:cstheme="majorHAnsi"/>
                          <w:sz w:val="22"/>
                          <w:szCs w:val="22"/>
                          <w:lang w:val="nl-NL"/>
                        </w:rPr>
                      </w:pPr>
                    </w:p>
                    <w:p w:rsidR="005B628D" w:rsidRDefault="005B628D" w:rsidP="005B628D">
                      <w:pPr>
                        <w:pStyle w:val="RedBullets"/>
                        <w:numPr>
                          <w:ilvl w:val="0"/>
                          <w:numId w:val="0"/>
                        </w:numPr>
                        <w:ind w:left="360" w:hanging="360"/>
                        <w:rPr>
                          <w:rFonts w:asciiTheme="majorHAnsi" w:hAnsiTheme="majorHAnsi" w:cstheme="majorHAnsi"/>
                          <w:b/>
                          <w:sz w:val="22"/>
                          <w:szCs w:val="22"/>
                          <w:lang w:val="nl-NL"/>
                        </w:rPr>
                      </w:pPr>
                      <w:r w:rsidRPr="00C525F8">
                        <w:rPr>
                          <w:rFonts w:asciiTheme="majorHAnsi" w:hAnsiTheme="majorHAnsi" w:cstheme="majorHAnsi"/>
                          <w:b/>
                          <w:sz w:val="22"/>
                          <w:szCs w:val="22"/>
                          <w:lang w:val="nl-NL"/>
                        </w:rPr>
                        <w:t>Interpretatie:</w:t>
                      </w:r>
                    </w:p>
                    <w:p w:rsidR="00C525F8" w:rsidRPr="00C525F8" w:rsidRDefault="00C525F8" w:rsidP="005B628D">
                      <w:pPr>
                        <w:pStyle w:val="RedBullets"/>
                        <w:numPr>
                          <w:ilvl w:val="0"/>
                          <w:numId w:val="0"/>
                        </w:numPr>
                        <w:ind w:left="360" w:hanging="360"/>
                        <w:rPr>
                          <w:rFonts w:asciiTheme="majorHAnsi" w:hAnsiTheme="majorHAnsi" w:cstheme="majorHAnsi"/>
                          <w:b/>
                          <w:sz w:val="22"/>
                          <w:szCs w:val="22"/>
                          <w:lang w:val="nl-NL"/>
                        </w:rPr>
                      </w:pPr>
                    </w:p>
                    <w:p w:rsidR="00665553" w:rsidRPr="00C525F8" w:rsidRDefault="005B628D" w:rsidP="005B628D">
                      <w:pPr>
                        <w:pStyle w:val="RedBullets"/>
                        <w:numPr>
                          <w:ilvl w:val="0"/>
                          <w:numId w:val="0"/>
                        </w:numPr>
                        <w:rPr>
                          <w:rFonts w:asciiTheme="majorHAnsi" w:hAnsiTheme="majorHAnsi" w:cstheme="majorHAnsi"/>
                          <w:sz w:val="22"/>
                          <w:szCs w:val="22"/>
                          <w:lang w:val="nl-NL"/>
                        </w:rPr>
                      </w:pPr>
                      <w:r w:rsidRPr="00C525F8">
                        <w:rPr>
                          <w:rFonts w:asciiTheme="majorHAnsi" w:hAnsiTheme="majorHAnsi" w:cstheme="majorHAnsi"/>
                          <w:i/>
                          <w:sz w:val="22"/>
                          <w:szCs w:val="22"/>
                          <w:lang w:val="nl-NL"/>
                        </w:rPr>
                        <w:t>‘Passend’ verwijst naar de mix van kennis, vaardigheden en overige competenties die nodig zijn voor het uitvoeren van het plan. ‘Toereikend’ verwijst naar de hoeveelheid middelen die nodig is voor het uitvoeren van het plan. Middelen worden doelmatig ingezet wanneer ze worden gebruikt op een manier die de uitvoering van het goedgekeurde plan optimaliseert</w:t>
                      </w:r>
                      <w:r w:rsidRPr="00C525F8">
                        <w:rPr>
                          <w:rFonts w:asciiTheme="majorHAnsi" w:hAnsiTheme="majorHAnsi" w:cstheme="majorHAnsi"/>
                          <w:sz w:val="22"/>
                          <w:szCs w:val="22"/>
                          <w:lang w:val="nl-NL"/>
                        </w:rPr>
                        <w:t>.</w:t>
                      </w:r>
                    </w:p>
                    <w:p w:rsidR="005A0CAD" w:rsidRPr="00C525F8" w:rsidRDefault="005A0CAD" w:rsidP="002F57B5">
                      <w:pPr>
                        <w:pStyle w:val="RedBullets"/>
                        <w:numPr>
                          <w:ilvl w:val="0"/>
                          <w:numId w:val="0"/>
                        </w:numPr>
                        <w:rPr>
                          <w:rFonts w:asciiTheme="majorHAnsi" w:hAnsiTheme="majorHAnsi" w:cstheme="majorHAnsi"/>
                          <w:sz w:val="22"/>
                          <w:szCs w:val="22"/>
                        </w:rPr>
                      </w:pPr>
                    </w:p>
                    <w:p w:rsidR="002F57B5" w:rsidRPr="00C525F8" w:rsidRDefault="005B628D" w:rsidP="005B628D">
                      <w:pPr>
                        <w:pStyle w:val="RedBullets"/>
                        <w:numPr>
                          <w:ilvl w:val="0"/>
                          <w:numId w:val="0"/>
                        </w:numPr>
                        <w:jc w:val="right"/>
                        <w:rPr>
                          <w:rFonts w:asciiTheme="majorHAnsi" w:hAnsiTheme="majorHAnsi" w:cstheme="majorHAnsi"/>
                          <w:sz w:val="22"/>
                          <w:szCs w:val="22"/>
                        </w:rPr>
                      </w:pPr>
                      <w:r w:rsidRPr="00C525F8">
                        <w:rPr>
                          <w:rFonts w:asciiTheme="majorHAnsi" w:hAnsiTheme="majorHAnsi" w:cstheme="majorHAnsi"/>
                          <w:sz w:val="22"/>
                          <w:szCs w:val="22"/>
                        </w:rPr>
                        <w:t xml:space="preserve">Herziene </w:t>
                      </w:r>
                      <w:r w:rsidRPr="00BB13E2">
                        <w:rPr>
                          <w:rFonts w:asciiTheme="majorHAnsi" w:hAnsiTheme="majorHAnsi" w:cstheme="majorHAnsi"/>
                          <w:i/>
                          <w:sz w:val="22"/>
                          <w:szCs w:val="22"/>
                        </w:rPr>
                        <w:t>Standaarden</w:t>
                      </w:r>
                      <w:r w:rsidRPr="00C525F8">
                        <w:rPr>
                          <w:rFonts w:asciiTheme="majorHAnsi" w:hAnsiTheme="majorHAnsi" w:cstheme="majorHAnsi"/>
                          <w:sz w:val="22"/>
                          <w:szCs w:val="22"/>
                        </w:rPr>
                        <w:t xml:space="preserve"> die per 1 januari 2017 van kracht zijn</w:t>
                      </w:r>
                    </w:p>
                  </w:txbxContent>
                </v:textbox>
                <w10:wrap type="square" anchorx="margin" anchory="margin"/>
              </v:shape>
            </w:pict>
          </mc:Fallback>
        </mc:AlternateContent>
      </w:r>
      <w:r w:rsidR="00685768" w:rsidRPr="00C525F8">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5B628D">
                              <w:rPr>
                                <w:color w:val="FFFFFF" w:themeColor="background1"/>
                                <w:sz w:val="50"/>
                                <w:szCs w:val="50"/>
                                <w:lang w:val="nl-NL"/>
                                <w14:textOutline w14:w="9525" w14:cap="flat" w14:cmpd="sng" w14:algn="ctr">
                                  <w14:noFill/>
                                  <w14:prstDash w14:val="solid"/>
                                  <w14:round/>
                                </w14:textOutline>
                              </w:rPr>
                              <w:t>2030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5B628D">
                        <w:rPr>
                          <w:color w:val="FFFFFF" w:themeColor="background1"/>
                          <w:sz w:val="50"/>
                          <w:szCs w:val="50"/>
                          <w:lang w:val="nl-NL"/>
                          <w14:textOutline w14:w="9525" w14:cap="flat" w14:cmpd="sng" w14:algn="ctr">
                            <w14:noFill/>
                            <w14:prstDash w14:val="solid"/>
                            <w14:round/>
                          </w14:textOutline>
                        </w:rPr>
                        <w:t>2030</w:t>
                      </w:r>
                    </w:p>
                  </w:txbxContent>
                </v:textbox>
                <w10:wrap type="square" anchorx="page" anchory="page"/>
              </v:shape>
            </w:pict>
          </mc:Fallback>
        </mc:AlternateContent>
      </w:r>
    </w:p>
    <w:p w:rsidR="002F57B5" w:rsidRPr="00C525F8" w:rsidRDefault="00685768" w:rsidP="002F57B5">
      <w:pPr>
        <w:pStyle w:val="TemplateHeadline"/>
        <w:rPr>
          <w:rFonts w:asciiTheme="minorHAnsi" w:hAnsiTheme="minorHAnsi" w:cstheme="minorHAnsi"/>
          <w:lang w:val="nl-NL"/>
        </w:rPr>
      </w:pPr>
      <w:r w:rsidRPr="00C525F8">
        <w:rPr>
          <w:rFonts w:asciiTheme="minorHAnsi" w:hAnsiTheme="minorHAnsi" w:cstheme="minorHAnsi"/>
          <w:lang w:val="nl-NL"/>
        </w:rPr>
        <w:t xml:space="preserve">Inleiding </w:t>
      </w:r>
    </w:p>
    <w:p w:rsidR="00DA2E66" w:rsidRPr="00C525F8" w:rsidRDefault="00DA2E66" w:rsidP="00DA2E66">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 xml:space="preserve">Bij de ontwikkeling van het internal auditplan (Standaard 2010) en de beoordeling ervan met het bestuur en het senior management (Standaard 2020), beschouwt en bespreekt het hoofd van de internal auditfunctie (CAE) de middelen die nodig zijn om de prioriteiten van het plan te realiseren. Voor het implementeren van Standaard 2030 begint de CAE gewoonlijk met het verwerven van een dieper inzicht in de middelen die beschikbaar zijn voor de internal auditfunctie in het door het bestuur </w:t>
      </w:r>
      <w:r w:rsidRPr="00C525F8">
        <w:rPr>
          <w:rFonts w:asciiTheme="minorHAnsi" w:hAnsiTheme="minorHAnsi" w:cstheme="minorHAnsi"/>
          <w:sz w:val="22"/>
          <w:szCs w:val="22"/>
          <w:lang w:val="nl-NL"/>
        </w:rPr>
        <w:lastRenderedPageBreak/>
        <w:t>goedgekeurde internal auditplan.</w:t>
      </w:r>
    </w:p>
    <w:p w:rsidR="00DA2E66" w:rsidRPr="00C525F8" w:rsidRDefault="00DA2E66" w:rsidP="00DA2E66">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De CAE kan het aantal beschikbare medewerkers voor internal auditing en de beschikbare productieve arbeid voor het implementeren van het plan zorgvuldig beoordelen binnen de beperkingen van de planningen van de organisatie. Productieve arbeidsuren sluiten over het algemeen factoren als betaald verlof en tijd besteed aan training en administratieve taken uit. Om een ​​overzicht te krijgen van de collectieve kennis, vaardigheden en andere competenties van de internal auditfunctie kan de CAE een gedocumenteerde vaardigheidsbeoordeling inzien, indien beschikbaar, of informatie verzamelen van prestatiebeoordelingen van medewerkers en enquêtes na auditopdrachten.</w:t>
      </w:r>
    </w:p>
    <w:p w:rsidR="00DA2E66" w:rsidRPr="00C525F8" w:rsidRDefault="00DA2E66" w:rsidP="00DA2E66">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Het kan ook zijn dat de CAE het goedgekeurde budget wenst te overwegen, evenals de beschikbare middelen voor training, technologie of extra personeel om het plan te bereiken.</w:t>
      </w:r>
    </w:p>
    <w:p w:rsidR="002C0B84" w:rsidRPr="00C525F8" w:rsidRDefault="002C0B84" w:rsidP="0081412E">
      <w:pPr>
        <w:pStyle w:val="TemplateHeadline"/>
        <w:rPr>
          <w:rFonts w:asciiTheme="minorHAnsi" w:hAnsiTheme="minorHAnsi" w:cstheme="minorHAnsi"/>
          <w:color w:val="000000"/>
          <w:sz w:val="22"/>
          <w:szCs w:val="22"/>
          <w:lang w:val="nl-NL"/>
        </w:rPr>
      </w:pPr>
    </w:p>
    <w:p w:rsidR="002F57B5" w:rsidRPr="00C525F8" w:rsidRDefault="00685768" w:rsidP="002F57B5">
      <w:pPr>
        <w:pStyle w:val="TemplateHeadline"/>
        <w:rPr>
          <w:rFonts w:asciiTheme="minorHAnsi" w:hAnsiTheme="minorHAnsi" w:cstheme="minorHAnsi"/>
          <w:lang w:val="nl-NL"/>
        </w:rPr>
      </w:pPr>
      <w:r w:rsidRPr="00C525F8">
        <w:rPr>
          <w:rFonts w:asciiTheme="minorHAnsi" w:hAnsiTheme="minorHAnsi" w:cstheme="minorHAnsi"/>
          <w:lang w:val="nl-NL"/>
        </w:rPr>
        <w:t xml:space="preserve">Overwegingen bij de implementatie </w:t>
      </w:r>
    </w:p>
    <w:p w:rsidR="00922258" w:rsidRPr="00C525F8" w:rsidRDefault="00922258" w:rsidP="00922258">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Bij de toewijzing van specifieke middelen aan de opdrachten die zijn geïdentificeerd in het goedgekeurde internal auditplan, kan de CAE bepalen in hoeverre de beschikbare middelen corresponderen met de specifieke vaardigheden en timing die nodig zijn om de opdrachten uit te voeren. Tijdens dit proces vult de CAE doorgaans eventuele leemtes op die mogelijk zijn geïdentificeerd.</w:t>
      </w:r>
    </w:p>
    <w:p w:rsidR="00922258" w:rsidRPr="00C525F8" w:rsidRDefault="00922258" w:rsidP="00922258">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Om de leemtes in kennis, vaardigheden en competenties van de medewerkers van internal auditing op te vullen, zou de CAE training kunnen geven aan bestaande medewerkers, een deskundige van binnen de organisatie kunnen verzoeken om als gastauditor op te treden, extra personeel kunnen inhuren of een externe dienstverlener in de arm kunnen nemen. Als de hoeveelheid middelen onvoldoende is om de geplande opdrachten efficiënt en effectief te dekken, kan de CAE extra personeel in dienst nemen, opdrachten uitbesteden, samen met derden aan opdrachten werken, één of meer gastauditors gebruiken of een roterend auditprogramma ontwikkelen.</w:t>
      </w:r>
    </w:p>
    <w:p w:rsidR="00922258" w:rsidRPr="00C525F8" w:rsidRDefault="00922258" w:rsidP="00922258">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 xml:space="preserve">Bij de ontwikkeling van een planning voor internal auditopdrachten, houdt de CAE rekening met de planning van de organisatie, de planningen van individuele internal auditors en de beschikbaarheid van te auditeren entiteiten. Bijvoorbeeld, als een auditopdracht moet plaatsvinden gedurende een bepaalde </w:t>
      </w:r>
      <w:r w:rsidRPr="00C525F8">
        <w:rPr>
          <w:rFonts w:asciiTheme="minorHAnsi" w:hAnsiTheme="minorHAnsi" w:cstheme="minorHAnsi"/>
          <w:sz w:val="22"/>
          <w:szCs w:val="22"/>
          <w:lang w:val="nl-NL"/>
        </w:rPr>
        <w:lastRenderedPageBreak/>
        <w:t>tijd van het jaar, moeten de middelen die nodig zijn om die opdracht te voltooien ook op dat moment beschikbaar zijn. Evenzo geldt dat wanneer een entiteit niet of beperkt beschikbaar is voor een audit gedurende een bepaalde periode van het jaar, de opdracht zodanig zou moeten worden gepland dat deze periode wordt vermeden.</w:t>
      </w:r>
    </w:p>
    <w:p w:rsidR="00E90A08" w:rsidRPr="00C525F8" w:rsidRDefault="00922258" w:rsidP="00922258">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Omdat de CAE moet rapporteren over het effect van de beperkingen van middelen (Standaard 2020) en over de prestaties van de internal auditfunctie ten opzichte van haar plan (Standaard 2060), is het belangrijk dat de CAE de algehele toereikendheid van de middelen voortdurend meet. Om te bevestigen dat de middelen adequaat, voldoende en effectief zijn ingezet, stelt de CAE parameters vast voor de beoordeling van de prestaties van de internal auditfunctie en vraagt feedback van internal auditklanten</w:t>
      </w:r>
      <w:r w:rsidR="00E90A08" w:rsidRPr="00C525F8">
        <w:rPr>
          <w:rFonts w:asciiTheme="minorHAnsi" w:hAnsiTheme="minorHAnsi" w:cstheme="minorHAnsi"/>
          <w:sz w:val="22"/>
          <w:szCs w:val="22"/>
          <w:lang w:val="nl-NL"/>
        </w:rPr>
        <w:t>.</w:t>
      </w:r>
    </w:p>
    <w:p w:rsidR="002F57B5" w:rsidRPr="00C525F8" w:rsidRDefault="002F57B5" w:rsidP="002F57B5">
      <w:pPr>
        <w:pStyle w:val="TemplateHeadline"/>
        <w:rPr>
          <w:rFonts w:asciiTheme="minorHAnsi" w:hAnsiTheme="minorHAnsi" w:cstheme="minorHAnsi"/>
          <w:color w:val="000000"/>
          <w:sz w:val="22"/>
          <w:szCs w:val="22"/>
          <w:lang w:val="nl-NL"/>
        </w:rPr>
      </w:pPr>
    </w:p>
    <w:p w:rsidR="002F57B5" w:rsidRPr="00C525F8" w:rsidRDefault="00685768" w:rsidP="002F57B5">
      <w:pPr>
        <w:pStyle w:val="TemplateHeadline"/>
        <w:rPr>
          <w:rFonts w:asciiTheme="minorHAnsi" w:hAnsiTheme="minorHAnsi" w:cstheme="minorHAnsi"/>
          <w:lang w:val="nl-NL"/>
        </w:rPr>
      </w:pPr>
      <w:r w:rsidRPr="00C525F8">
        <w:rPr>
          <w:rFonts w:asciiTheme="minorHAnsi" w:hAnsiTheme="minorHAnsi" w:cstheme="minorHAnsi"/>
          <w:lang w:val="nl-NL"/>
        </w:rPr>
        <w:t>Overwegingen b</w:t>
      </w:r>
      <w:r w:rsidR="002F57B5" w:rsidRPr="00C525F8">
        <w:rPr>
          <w:rFonts w:asciiTheme="minorHAnsi" w:hAnsiTheme="minorHAnsi" w:cstheme="minorHAnsi"/>
          <w:lang w:val="nl-NL"/>
        </w:rPr>
        <w:t>ij het aantonen van de naleving</w:t>
      </w:r>
    </w:p>
    <w:p w:rsidR="00443735" w:rsidRPr="00C525F8" w:rsidRDefault="00922258" w:rsidP="00443735">
      <w:pPr>
        <w:pStyle w:val="TemplateBodyText"/>
        <w:rPr>
          <w:rFonts w:asciiTheme="minorHAnsi" w:hAnsiTheme="minorHAnsi" w:cstheme="minorHAnsi"/>
          <w:sz w:val="22"/>
          <w:szCs w:val="22"/>
          <w:lang w:val="nl-NL"/>
        </w:rPr>
      </w:pPr>
      <w:r w:rsidRPr="00C525F8">
        <w:rPr>
          <w:rFonts w:asciiTheme="minorHAnsi" w:hAnsiTheme="minorHAnsi" w:cstheme="minorHAnsi"/>
          <w:sz w:val="22"/>
          <w:szCs w:val="22"/>
          <w:lang w:val="nl-NL"/>
        </w:rPr>
        <w:t>Het internal auditplan zou kunnen behoren tot de documentatie die naleving van Standaard 2030 aantoont. Dit plan bevat het geschatte tijdschema van auditopdrachten en toegewezen middelen. Daarnaast kan na de audit een vergelijking van begrote uren en werkelijke uren worden gedocumenteerd om te valideren dat de middelen effectief zijn ingezet. De resultaten van klantenbeoordelingen die verband houden met de prestaties van de internal auditfunctie en individuele internal auditors worden vaak genoteerd in post-audit rapporten, enquêtes en jaarverslagen</w:t>
      </w:r>
      <w:r w:rsidR="00443735" w:rsidRPr="00C525F8">
        <w:rPr>
          <w:rFonts w:asciiTheme="minorHAnsi" w:hAnsiTheme="minorHAnsi" w:cstheme="minorHAnsi"/>
          <w:sz w:val="22"/>
          <w:szCs w:val="22"/>
          <w:lang w:val="nl-NL"/>
        </w:rPr>
        <w:t>.</w:t>
      </w:r>
    </w:p>
    <w:p w:rsidR="002F57B5" w:rsidRPr="00C525F8" w:rsidRDefault="00685768" w:rsidP="00443735">
      <w:pPr>
        <w:pStyle w:val="TemplateBodyText"/>
        <w:rPr>
          <w:rFonts w:asciiTheme="minorHAnsi" w:hAnsiTheme="minorHAnsi" w:cstheme="minorHAnsi"/>
          <w:lang w:val="nl-NL"/>
        </w:rPr>
      </w:pPr>
      <w:r w:rsidRPr="00C525F8">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3857625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3.75pt;width:7in;height:404.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Ng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C525F8"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5F8" w:rsidRDefault="00C525F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BB13E2">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BB13E2">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5B628D" w:rsidRPr="005B628D">
                            <w:rPr>
                              <w:rFonts w:ascii="Arial" w:hAnsi="Arial" w:cs="Arial"/>
                              <w:color w:val="0F1F4B"/>
                              <w:lang w:val="nl-NL"/>
                            </w:rPr>
                            <w:t xml:space="preserve">2030 </w:t>
                          </w:r>
                          <w:r w:rsidR="00C525F8">
                            <w:rPr>
                              <w:rFonts w:ascii="Arial" w:hAnsi="Arial" w:cs="Arial"/>
                              <w:color w:val="0F1F4B"/>
                              <w:lang w:val="nl-NL"/>
                            </w:rPr>
                            <w:t>-</w:t>
                          </w:r>
                          <w:r w:rsidR="005B628D" w:rsidRPr="005B628D">
                            <w:rPr>
                              <w:rFonts w:ascii="Arial" w:hAnsi="Arial" w:cs="Arial"/>
                              <w:color w:val="0F1F4B"/>
                              <w:lang w:val="nl-NL"/>
                            </w:rPr>
                            <w:t xml:space="preserve"> Beheer van middelen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5B628D" w:rsidRPr="005B628D">
                      <w:rPr>
                        <w:rFonts w:ascii="Arial" w:hAnsi="Arial" w:cs="Arial"/>
                        <w:color w:val="0F1F4B"/>
                        <w:lang w:val="nl-NL"/>
                      </w:rPr>
                      <w:t xml:space="preserve">2030 </w:t>
                    </w:r>
                    <w:r w:rsidR="00C525F8">
                      <w:rPr>
                        <w:rFonts w:ascii="Arial" w:hAnsi="Arial" w:cs="Arial"/>
                        <w:color w:val="0F1F4B"/>
                        <w:lang w:val="nl-NL"/>
                      </w:rPr>
                      <w:t>-</w:t>
                    </w:r>
                    <w:r w:rsidR="005B628D" w:rsidRPr="005B628D">
                      <w:rPr>
                        <w:rFonts w:ascii="Arial" w:hAnsi="Arial" w:cs="Arial"/>
                        <w:color w:val="0F1F4B"/>
                        <w:lang w:val="nl-NL"/>
                      </w:rPr>
                      <w:t xml:space="preserve"> Beheer van middelen</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84E07"/>
    <w:rsid w:val="002C0B84"/>
    <w:rsid w:val="002F57B5"/>
    <w:rsid w:val="00443735"/>
    <w:rsid w:val="005A0CAD"/>
    <w:rsid w:val="005B628D"/>
    <w:rsid w:val="005C501B"/>
    <w:rsid w:val="00665553"/>
    <w:rsid w:val="00685768"/>
    <w:rsid w:val="0081412E"/>
    <w:rsid w:val="008F2569"/>
    <w:rsid w:val="00922258"/>
    <w:rsid w:val="0096042C"/>
    <w:rsid w:val="0097657B"/>
    <w:rsid w:val="00A96503"/>
    <w:rsid w:val="00AA0CBD"/>
    <w:rsid w:val="00BB13E2"/>
    <w:rsid w:val="00BC3D33"/>
    <w:rsid w:val="00C525F8"/>
    <w:rsid w:val="00C6368B"/>
    <w:rsid w:val="00DA2E66"/>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E0C2CF-DF26-4F4F-B8BD-6FB3ADF3283E}">
  <ds:schemaRefs>
    <ds:schemaRef ds:uri="http://schemas.openxmlformats.org/officeDocument/2006/bibliography"/>
  </ds:schemaRefs>
</ds:datastoreItem>
</file>

<file path=customXml/itemProps2.xml><?xml version="1.0" encoding="utf-8"?>
<ds:datastoreItem xmlns:ds="http://schemas.openxmlformats.org/officeDocument/2006/customXml" ds:itemID="{C4BBDF8F-806D-4122-B08A-5E2C320A8FBA}"/>
</file>

<file path=customXml/itemProps3.xml><?xml version="1.0" encoding="utf-8"?>
<ds:datastoreItem xmlns:ds="http://schemas.openxmlformats.org/officeDocument/2006/customXml" ds:itemID="{5F13CC60-1D7E-46FF-B963-42EBAC98C2E4}"/>
</file>

<file path=customXml/itemProps4.xml><?xml version="1.0" encoding="utf-8"?>
<ds:datastoreItem xmlns:ds="http://schemas.openxmlformats.org/officeDocument/2006/customXml" ds:itemID="{219AC315-2B6D-4C0D-94BA-031DA37B1722}"/>
</file>

<file path=docProps/app.xml><?xml version="1.0" encoding="utf-8"?>
<Properties xmlns="http://schemas.openxmlformats.org/officeDocument/2006/extended-properties" xmlns:vt="http://schemas.openxmlformats.org/officeDocument/2006/docPropsVTypes">
  <Template>10041221</Template>
  <TotalTime>4</TotalTime>
  <Pages>4</Pages>
  <Words>640</Words>
  <Characters>3523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7</cp:revision>
  <dcterms:created xsi:type="dcterms:W3CDTF">2017-08-18T13:17:00Z</dcterms:created>
  <dcterms:modified xsi:type="dcterms:W3CDTF">2017-08-21T13:37:00Z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