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57B5" w:rsidRPr="00C525F8" w:rsidRDefault="00C6368B" w:rsidP="00FF046F">
      <w:pPr>
        <w:pStyle w:val="Geenafstand"/>
        <w:rPr>
          <w:rFonts w:cstheme="minorHAnsi"/>
          <w:lang w:val="nl-NL"/>
        </w:rPr>
      </w:pPr>
      <w:bookmarkStart w:id="0" w:name="_GoBack"/>
      <w:bookmarkEnd w:id="0"/>
      <w:r w:rsidRPr="00C525F8">
        <w:rPr>
          <w:rFonts w:cstheme="minorHAnsi"/>
          <w:noProof/>
          <w:lang w:val="nl-NL" w:eastAsia="nl-NL"/>
        </w:rPr>
        <mc:AlternateContent>
          <mc:Choice Requires="wps">
            <w:drawing>
              <wp:anchor distT="2103120" distB="274320" distL="114300" distR="114300" simplePos="0" relativeHeight="251658240" behindDoc="0" locked="0" layoutInCell="1" allowOverlap="1" wp14:anchorId="77BB7B64" wp14:editId="6E799E7E">
                <wp:simplePos x="0" y="0"/>
                <wp:positionH relativeFrom="margin">
                  <wp:align>right</wp:align>
                </wp:positionH>
                <wp:positionV relativeFrom="margin">
                  <wp:posOffset>1532890</wp:posOffset>
                </wp:positionV>
                <wp:extent cx="6400800" cy="4029075"/>
                <wp:effectExtent l="0" t="0" r="0" b="9525"/>
                <wp:wrapSquare wrapText="bothSides"/>
                <wp:docPr id="5" name="Text Box 5"/>
                <wp:cNvGraphicFramePr/>
                <a:graphic xmlns:a="http://schemas.openxmlformats.org/drawingml/2006/main">
                  <a:graphicData uri="http://schemas.microsoft.com/office/word/2010/wordprocessingShape">
                    <wps:wsp>
                      <wps:cNvSpPr txBox="1"/>
                      <wps:spPr>
                        <a:xfrm>
                          <a:off x="0" y="0"/>
                          <a:ext cx="6400800" cy="4029075"/>
                        </a:xfrm>
                        <a:prstGeom prst="rect">
                          <a:avLst/>
                        </a:prstGeom>
                        <a:solidFill>
                          <a:schemeClr val="bg1">
                            <a:lumMod val="85000"/>
                          </a:schemeClr>
                        </a:solid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2F57B5" w:rsidRPr="00D24D8B" w:rsidRDefault="00665553" w:rsidP="002F57B5">
                            <w:pPr>
                              <w:pStyle w:val="TemplateHeadline"/>
                              <w:rPr>
                                <w:rFonts w:asciiTheme="majorHAnsi" w:hAnsiTheme="majorHAnsi" w:cstheme="majorHAnsi"/>
                              </w:rPr>
                            </w:pPr>
                            <w:r>
                              <w:rPr>
                                <w:rFonts w:asciiTheme="majorHAnsi" w:hAnsiTheme="majorHAnsi" w:cstheme="majorHAnsi"/>
                                <w:lang w:val="nl-NL"/>
                              </w:rPr>
                              <w:t xml:space="preserve">Standaard </w:t>
                            </w:r>
                            <w:r w:rsidR="005B628D" w:rsidRPr="005B628D">
                              <w:rPr>
                                <w:rFonts w:asciiTheme="majorHAnsi" w:hAnsiTheme="majorHAnsi" w:cstheme="majorHAnsi"/>
                                <w:lang w:val="nl-NL"/>
                              </w:rPr>
                              <w:t>2030 – Beheer van middelen</w:t>
                            </w:r>
                          </w:p>
                          <w:p w:rsidR="005B628D" w:rsidRPr="00C525F8" w:rsidRDefault="005B628D" w:rsidP="005B628D">
                            <w:pPr>
                              <w:pStyle w:val="RedBullets"/>
                              <w:numPr>
                                <w:ilvl w:val="0"/>
                                <w:numId w:val="0"/>
                              </w:numPr>
                              <w:rPr>
                                <w:rFonts w:asciiTheme="majorHAnsi" w:hAnsiTheme="majorHAnsi" w:cstheme="majorHAnsi"/>
                                <w:sz w:val="22"/>
                                <w:szCs w:val="22"/>
                                <w:lang w:val="nl-NL"/>
                              </w:rPr>
                            </w:pPr>
                            <w:r w:rsidRPr="00C525F8">
                              <w:rPr>
                                <w:rFonts w:asciiTheme="majorHAnsi" w:hAnsiTheme="majorHAnsi" w:cstheme="majorHAnsi"/>
                                <w:sz w:val="22"/>
                                <w:szCs w:val="22"/>
                                <w:lang w:val="nl-NL"/>
                              </w:rPr>
                              <w:t>Het hoofd van de internal-auditfunctie moet ervoor zorgen dat de internal-auditfunctie beschikt over passende, toereikende en doelmatig aangewende middelen om het goedgekeurde plan te realiseren.</w:t>
                            </w:r>
                          </w:p>
                          <w:p w:rsidR="005B628D" w:rsidRPr="00C525F8" w:rsidRDefault="005B628D" w:rsidP="005B628D">
                            <w:pPr>
                              <w:pStyle w:val="RedBullets"/>
                              <w:numPr>
                                <w:ilvl w:val="0"/>
                                <w:numId w:val="0"/>
                              </w:numPr>
                              <w:rPr>
                                <w:rFonts w:asciiTheme="majorHAnsi" w:hAnsiTheme="majorHAnsi" w:cstheme="majorHAnsi"/>
                                <w:sz w:val="22"/>
                                <w:szCs w:val="22"/>
                                <w:lang w:val="nl-NL"/>
                              </w:rPr>
                            </w:pPr>
                          </w:p>
                          <w:p w:rsidR="005B628D" w:rsidRDefault="005B628D" w:rsidP="005B628D">
                            <w:pPr>
                              <w:pStyle w:val="RedBullets"/>
                              <w:numPr>
                                <w:ilvl w:val="0"/>
                                <w:numId w:val="0"/>
                              </w:numPr>
                              <w:ind w:left="360" w:hanging="360"/>
                              <w:rPr>
                                <w:rFonts w:asciiTheme="majorHAnsi" w:hAnsiTheme="majorHAnsi" w:cstheme="majorHAnsi"/>
                                <w:b/>
                                <w:sz w:val="22"/>
                                <w:szCs w:val="22"/>
                                <w:lang w:val="nl-NL"/>
                              </w:rPr>
                            </w:pPr>
                            <w:r w:rsidRPr="00C525F8">
                              <w:rPr>
                                <w:rFonts w:asciiTheme="majorHAnsi" w:hAnsiTheme="majorHAnsi" w:cstheme="majorHAnsi"/>
                                <w:b/>
                                <w:sz w:val="22"/>
                                <w:szCs w:val="22"/>
                                <w:lang w:val="nl-NL"/>
                              </w:rPr>
                              <w:t>Interpretatie:</w:t>
                            </w:r>
                          </w:p>
                          <w:p w:rsidR="00C525F8" w:rsidRPr="00C525F8" w:rsidRDefault="00C525F8" w:rsidP="005B628D">
                            <w:pPr>
                              <w:pStyle w:val="RedBullets"/>
                              <w:numPr>
                                <w:ilvl w:val="0"/>
                                <w:numId w:val="0"/>
                              </w:numPr>
                              <w:ind w:left="360" w:hanging="360"/>
                              <w:rPr>
                                <w:rFonts w:asciiTheme="majorHAnsi" w:hAnsiTheme="majorHAnsi" w:cstheme="majorHAnsi"/>
                                <w:b/>
                                <w:sz w:val="22"/>
                                <w:szCs w:val="22"/>
                                <w:lang w:val="nl-NL"/>
                              </w:rPr>
                            </w:pPr>
                          </w:p>
                          <w:p w:rsidR="00665553" w:rsidRPr="00C525F8" w:rsidRDefault="005B628D" w:rsidP="005B628D">
                            <w:pPr>
                              <w:pStyle w:val="RedBullets"/>
                              <w:numPr>
                                <w:ilvl w:val="0"/>
                                <w:numId w:val="0"/>
                              </w:numPr>
                              <w:rPr>
                                <w:rFonts w:asciiTheme="majorHAnsi" w:hAnsiTheme="majorHAnsi" w:cstheme="majorHAnsi"/>
                                <w:sz w:val="22"/>
                                <w:szCs w:val="22"/>
                                <w:lang w:val="nl-NL"/>
                              </w:rPr>
                            </w:pPr>
                            <w:r w:rsidRPr="00C525F8">
                              <w:rPr>
                                <w:rFonts w:asciiTheme="majorHAnsi" w:hAnsiTheme="majorHAnsi" w:cstheme="majorHAnsi"/>
                                <w:i/>
                                <w:sz w:val="22"/>
                                <w:szCs w:val="22"/>
                                <w:lang w:val="nl-NL"/>
                              </w:rPr>
                              <w:t>‘Passend’ verwijst naar de mix van kennis, vaardigheden en overige competenties die nodig zijn voor het uitvoeren van het plan. ‘Toereikend’ verwijst naar de hoeveelheid middelen die nodig is voor het uitvoeren van het plan. Middelen worden doelmatig ingezet wanneer ze worden gebruikt op een manier die de uitvoering van het goedgekeurde plan optimaliseert</w:t>
                            </w:r>
                            <w:r w:rsidRPr="00C525F8">
                              <w:rPr>
                                <w:rFonts w:asciiTheme="majorHAnsi" w:hAnsiTheme="majorHAnsi" w:cstheme="majorHAnsi"/>
                                <w:sz w:val="22"/>
                                <w:szCs w:val="22"/>
                                <w:lang w:val="nl-NL"/>
                              </w:rPr>
                              <w:t>.</w:t>
                            </w:r>
                          </w:p>
                          <w:p w:rsidR="005A0CAD" w:rsidRPr="00C525F8" w:rsidRDefault="005A0CAD" w:rsidP="002F57B5">
                            <w:pPr>
                              <w:pStyle w:val="RedBullets"/>
                              <w:numPr>
                                <w:ilvl w:val="0"/>
                                <w:numId w:val="0"/>
                              </w:numPr>
                              <w:rPr>
                                <w:rFonts w:asciiTheme="majorHAnsi" w:hAnsiTheme="majorHAnsi" w:cstheme="majorHAnsi"/>
                                <w:sz w:val="22"/>
                                <w:szCs w:val="22"/>
                              </w:rPr>
                            </w:pPr>
                          </w:p>
                          <w:p w:rsidR="002F57B5" w:rsidRPr="00C525F8" w:rsidRDefault="005B628D" w:rsidP="005B628D">
                            <w:pPr>
                              <w:pStyle w:val="RedBullets"/>
                              <w:numPr>
                                <w:ilvl w:val="0"/>
                                <w:numId w:val="0"/>
                              </w:numPr>
                              <w:jc w:val="right"/>
                              <w:rPr>
                                <w:rFonts w:asciiTheme="majorHAnsi" w:hAnsiTheme="majorHAnsi" w:cstheme="majorHAnsi"/>
                                <w:sz w:val="22"/>
                                <w:szCs w:val="22"/>
                              </w:rPr>
                            </w:pPr>
                            <w:r w:rsidRPr="00C525F8">
                              <w:rPr>
                                <w:rFonts w:asciiTheme="majorHAnsi" w:hAnsiTheme="majorHAnsi" w:cstheme="majorHAnsi"/>
                                <w:sz w:val="22"/>
                                <w:szCs w:val="22"/>
                              </w:rPr>
                              <w:t xml:space="preserve">Herziene </w:t>
                            </w:r>
                            <w:r w:rsidRPr="00BB13E2">
                              <w:rPr>
                                <w:rFonts w:asciiTheme="majorHAnsi" w:hAnsiTheme="majorHAnsi" w:cstheme="majorHAnsi"/>
                                <w:i/>
                                <w:sz w:val="22"/>
                                <w:szCs w:val="22"/>
                              </w:rPr>
                              <w:t>Standaarden</w:t>
                            </w:r>
                            <w:r w:rsidRPr="00C525F8">
                              <w:rPr>
                                <w:rFonts w:asciiTheme="majorHAnsi" w:hAnsiTheme="majorHAnsi" w:cstheme="majorHAnsi"/>
                                <w:sz w:val="22"/>
                                <w:szCs w:val="22"/>
                              </w:rPr>
                              <w:t xml:space="preserve"> die per 1 januari 2017 van kracht zijn</w:t>
                            </w:r>
                          </w:p>
                        </w:txbxContent>
                      </wps:txbx>
                      <wps:bodyPr rot="0" spcFirstLastPara="0" vertOverflow="overflow" horzOverflow="overflow" vert="horz" wrap="square" lIns="182880" tIns="301752" rIns="182880" bIns="301752"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7BB7B64" id="_x0000_t202" coordsize="21600,21600" o:spt="202" path="m,l,21600r21600,l21600,xe">
                <v:stroke joinstyle="miter"/>
                <v:path gradientshapeok="t" o:connecttype="rect"/>
              </v:shapetype>
              <v:shape id="Text Box 5" o:spid="_x0000_s1026" type="#_x0000_t202" style="position:absolute;margin-left:452.8pt;margin-top:120.7pt;width:7in;height:317.25pt;z-index:251658240;visibility:visible;mso-wrap-style:square;mso-height-percent:0;mso-wrap-distance-left:9pt;mso-wrap-distance-top:165.6pt;mso-wrap-distance-right:9pt;mso-wrap-distance-bottom:21.6pt;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" fillcolor="#d8d8d8 [2732]" stroked="f">
                <v:textbox inset="14.4pt,23.76pt,14.4pt,23.76pt">
                  <w:txbxContent>
                    <w:p w:rsidR="002F57B5" w:rsidRPr="00D24D8B" w:rsidRDefault="00665553" w:rsidP="002F57B5">
                      <w:pPr>
                        <w:pStyle w:val="TemplateHeadline"/>
                        <w:rPr>
                          <w:rFonts w:asciiTheme="majorHAnsi" w:hAnsiTheme="majorHAnsi" w:cstheme="majorHAnsi"/>
                        </w:rPr>
                      </w:pPr>
                      <w:r>
                        <w:rPr>
                          <w:rFonts w:asciiTheme="majorHAnsi" w:hAnsiTheme="majorHAnsi" w:cstheme="majorHAnsi"/>
                          <w:lang w:val="nl-NL"/>
                        </w:rPr>
                        <w:t xml:space="preserve">Standaard </w:t>
                      </w:r>
                      <w:r w:rsidR="005B628D" w:rsidRPr="005B628D">
                        <w:rPr>
                          <w:rFonts w:asciiTheme="majorHAnsi" w:hAnsiTheme="majorHAnsi" w:cstheme="majorHAnsi"/>
                          <w:lang w:val="nl-NL"/>
                        </w:rPr>
                        <w:t>2030 – Beheer van middelen</w:t>
                      </w:r>
                    </w:p>
                    <w:p w:rsidR="005B628D" w:rsidRPr="00C525F8" w:rsidRDefault="005B628D" w:rsidP="005B628D">
                      <w:pPr>
                        <w:pStyle w:val="RedBullets"/>
                        <w:numPr>
                          <w:ilvl w:val="0"/>
                          <w:numId w:val="0"/>
                        </w:numPr>
                        <w:rPr>
                          <w:rFonts w:asciiTheme="majorHAnsi" w:hAnsiTheme="majorHAnsi" w:cstheme="majorHAnsi"/>
                          <w:sz w:val="22"/>
                          <w:szCs w:val="22"/>
                          <w:lang w:val="nl-NL"/>
                        </w:rPr>
                      </w:pPr>
                      <w:r w:rsidRPr="00C525F8">
                        <w:rPr>
                          <w:rFonts w:asciiTheme="majorHAnsi" w:hAnsiTheme="majorHAnsi" w:cstheme="majorHAnsi"/>
                          <w:sz w:val="22"/>
                          <w:szCs w:val="22"/>
                          <w:lang w:val="nl-NL"/>
                        </w:rPr>
                        <w:t>Het hoofd van de internal-auditfunctie moet ervoor zorgen dat de internal-auditfunctie beschikt over passende, toereikende en doelmatig aangewende middelen om het goedgekeurde plan te realiseren.</w:t>
                      </w:r>
                    </w:p>
                    <w:p w:rsidR="005B628D" w:rsidRPr="00C525F8" w:rsidRDefault="005B628D" w:rsidP="005B628D">
                      <w:pPr>
                        <w:pStyle w:val="RedBullets"/>
                        <w:numPr>
                          <w:ilvl w:val="0"/>
                          <w:numId w:val="0"/>
                        </w:numPr>
                        <w:rPr>
                          <w:rFonts w:asciiTheme="majorHAnsi" w:hAnsiTheme="majorHAnsi" w:cstheme="majorHAnsi"/>
                          <w:sz w:val="22"/>
                          <w:szCs w:val="22"/>
                          <w:lang w:val="nl-NL"/>
                        </w:rPr>
                      </w:pPr>
                    </w:p>
                    <w:p w:rsidR="005B628D" w:rsidRDefault="005B628D" w:rsidP="005B628D">
                      <w:pPr>
                        <w:pStyle w:val="RedBullets"/>
                        <w:numPr>
                          <w:ilvl w:val="0"/>
                          <w:numId w:val="0"/>
                        </w:numPr>
                        <w:ind w:left="360" w:hanging="360"/>
                        <w:rPr>
                          <w:rFonts w:asciiTheme="majorHAnsi" w:hAnsiTheme="majorHAnsi" w:cstheme="majorHAnsi"/>
                          <w:b/>
                          <w:sz w:val="22"/>
                          <w:szCs w:val="22"/>
                          <w:lang w:val="nl-NL"/>
                        </w:rPr>
                      </w:pPr>
                      <w:r w:rsidRPr="00C525F8">
                        <w:rPr>
                          <w:rFonts w:asciiTheme="majorHAnsi" w:hAnsiTheme="majorHAnsi" w:cstheme="majorHAnsi"/>
                          <w:b/>
                          <w:sz w:val="22"/>
                          <w:szCs w:val="22"/>
                          <w:lang w:val="nl-NL"/>
                        </w:rPr>
                        <w:t>Interpretatie:</w:t>
                      </w:r>
                    </w:p>
                    <w:p w:rsidR="00C525F8" w:rsidRPr="00C525F8" w:rsidRDefault="00C525F8" w:rsidP="005B628D">
                      <w:pPr>
                        <w:pStyle w:val="RedBullets"/>
                        <w:numPr>
                          <w:ilvl w:val="0"/>
                          <w:numId w:val="0"/>
                        </w:numPr>
                        <w:ind w:left="360" w:hanging="360"/>
                        <w:rPr>
                          <w:rFonts w:asciiTheme="majorHAnsi" w:hAnsiTheme="majorHAnsi" w:cstheme="majorHAnsi"/>
                          <w:b/>
                          <w:sz w:val="22"/>
                          <w:szCs w:val="22"/>
                          <w:lang w:val="nl-NL"/>
                        </w:rPr>
                      </w:pPr>
                    </w:p>
                    <w:p w:rsidR="00665553" w:rsidRPr="00C525F8" w:rsidRDefault="005B628D" w:rsidP="005B628D">
                      <w:pPr>
                        <w:pStyle w:val="RedBullets"/>
                        <w:numPr>
                          <w:ilvl w:val="0"/>
                          <w:numId w:val="0"/>
                        </w:numPr>
                        <w:rPr>
                          <w:rFonts w:asciiTheme="majorHAnsi" w:hAnsiTheme="majorHAnsi" w:cstheme="majorHAnsi"/>
                          <w:sz w:val="22"/>
                          <w:szCs w:val="22"/>
                          <w:lang w:val="nl-NL"/>
                        </w:rPr>
                      </w:pPr>
                      <w:r w:rsidRPr="00C525F8">
                        <w:rPr>
                          <w:rFonts w:asciiTheme="majorHAnsi" w:hAnsiTheme="majorHAnsi" w:cstheme="majorHAnsi"/>
                          <w:i/>
                          <w:sz w:val="22"/>
                          <w:szCs w:val="22"/>
                          <w:lang w:val="nl-NL"/>
                        </w:rPr>
                        <w:t>‘Passend’ verwijst naar de mix van kennis, vaardigheden en overige competenties die nodig zijn voor het uitvoeren van het plan. ‘Toereikend’ verwijst naar de hoeveelheid middelen die nodig is voor het uitvoeren van het plan. Middelen worden doelmatig ingezet wanneer ze worden gebruikt op een manier die de uitvoering van het goedgekeurde plan optimaliseert</w:t>
                      </w:r>
                      <w:r w:rsidRPr="00C525F8">
                        <w:rPr>
                          <w:rFonts w:asciiTheme="majorHAnsi" w:hAnsiTheme="majorHAnsi" w:cstheme="majorHAnsi"/>
                          <w:sz w:val="22"/>
                          <w:szCs w:val="22"/>
                          <w:lang w:val="nl-NL"/>
                        </w:rPr>
                        <w:t>.</w:t>
                      </w:r>
                    </w:p>
                    <w:p w:rsidR="005A0CAD" w:rsidRPr="00C525F8" w:rsidRDefault="005A0CAD" w:rsidP="002F57B5">
                      <w:pPr>
                        <w:pStyle w:val="RedBullets"/>
                        <w:numPr>
                          <w:ilvl w:val="0"/>
                          <w:numId w:val="0"/>
                        </w:numPr>
                        <w:rPr>
                          <w:rFonts w:asciiTheme="majorHAnsi" w:hAnsiTheme="majorHAnsi" w:cstheme="majorHAnsi"/>
                          <w:sz w:val="22"/>
                          <w:szCs w:val="22"/>
                        </w:rPr>
                      </w:pPr>
                    </w:p>
                    <w:p w:rsidR="002F57B5" w:rsidRPr="00C525F8" w:rsidRDefault="005B628D" w:rsidP="005B628D">
                      <w:pPr>
                        <w:pStyle w:val="RedBullets"/>
                        <w:numPr>
                          <w:ilvl w:val="0"/>
                          <w:numId w:val="0"/>
                        </w:numPr>
                        <w:jc w:val="right"/>
                        <w:rPr>
                          <w:rFonts w:asciiTheme="majorHAnsi" w:hAnsiTheme="majorHAnsi" w:cstheme="majorHAnsi"/>
                          <w:sz w:val="22"/>
                          <w:szCs w:val="22"/>
                        </w:rPr>
                      </w:pPr>
                      <w:r w:rsidRPr="00C525F8">
                        <w:rPr>
                          <w:rFonts w:asciiTheme="majorHAnsi" w:hAnsiTheme="majorHAnsi" w:cstheme="majorHAnsi"/>
                          <w:sz w:val="22"/>
                          <w:szCs w:val="22"/>
                        </w:rPr>
                        <w:t xml:space="preserve">Herziene </w:t>
                      </w:r>
                      <w:r w:rsidRPr="00BB13E2">
                        <w:rPr>
                          <w:rFonts w:asciiTheme="majorHAnsi" w:hAnsiTheme="majorHAnsi" w:cstheme="majorHAnsi"/>
                          <w:i/>
                          <w:sz w:val="22"/>
                          <w:szCs w:val="22"/>
                        </w:rPr>
                        <w:t>Standaarden</w:t>
                      </w:r>
                      <w:r w:rsidRPr="00C525F8">
                        <w:rPr>
                          <w:rFonts w:asciiTheme="majorHAnsi" w:hAnsiTheme="majorHAnsi" w:cstheme="majorHAnsi"/>
                          <w:sz w:val="22"/>
                          <w:szCs w:val="22"/>
                        </w:rPr>
                        <w:t xml:space="preserve"> die per 1 januari 2017 van kracht zijn</w:t>
                      </w:r>
                    </w:p>
                  </w:txbxContent>
                </v:textbox>
                <w10:wrap type="square" anchorx="margin" anchory="margin"/>
              </v:shape>
            </w:pict>
          </mc:Fallback>
        </mc:AlternateContent>
      </w:r>
      <w:r w:rsidR="00685768" w:rsidRPr="00C525F8">
        <w:rPr>
          <w:rFonts w:cstheme="minorHAnsi"/>
          <w:noProof/>
          <w:lang w:val="nl-NL" w:eastAsia="nl-NL"/>
        </w:rPr>
        <mc:AlternateContent>
          <mc:Choice Requires="wps">
            <w:drawing>
              <wp:anchor distT="0" distB="0" distL="114300" distR="114300" simplePos="0" relativeHeight="251662336" behindDoc="0" locked="0" layoutInCell="1" allowOverlap="1" wp14:anchorId="1EC44BA1" wp14:editId="6B961549">
                <wp:simplePos x="0" y="0"/>
                <wp:positionH relativeFrom="page">
                  <wp:posOffset>2428875</wp:posOffset>
                </wp:positionH>
                <wp:positionV relativeFrom="page">
                  <wp:posOffset>923925</wp:posOffset>
                </wp:positionV>
                <wp:extent cx="4343400" cy="1600200"/>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4343400" cy="1600200"/>
                        </a:xfrm>
                        <a:prstGeom prst="rect">
                          <a:avLst/>
                        </a:prstGeom>
                        <a:noFill/>
                        <a:ln>
                          <a:noFill/>
                        </a:ln>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2F57B5" w:rsidRPr="00E6381B" w:rsidRDefault="00665553" w:rsidP="002F57B5">
                            <w:pPr>
                              <w:pStyle w:val="Headline"/>
                              <w:jc w:val="right"/>
                              <w:rPr>
                                <w:color w:val="FFFFFF" w:themeColor="background1"/>
                                <w:sz w:val="50"/>
                                <w:szCs w:val="50"/>
                                <w14:textOutline w14:w="9525" w14:cap="flat" w14:cmpd="sng" w14:algn="ctr">
                                  <w14:noFill/>
                                  <w14:prstDash w14:val="solid"/>
                                  <w14:round/>
                                </w14:textOutline>
                              </w:rPr>
                            </w:pPr>
                            <w:r>
                              <w:rPr>
                                <w:color w:val="FFFFFF" w:themeColor="background1"/>
                                <w:sz w:val="50"/>
                                <w:szCs w:val="50"/>
                                <w:lang w:val="nl-NL"/>
                                <w14:textOutline w14:w="9525" w14:cap="flat" w14:cmpd="sng" w14:algn="ctr">
                                  <w14:noFill/>
                                  <w14:prstDash w14:val="solid"/>
                                  <w14:round/>
                                </w14:textOutline>
                              </w:rPr>
                              <w:t xml:space="preserve">Implementatierichtlijn </w:t>
                            </w:r>
                            <w:r w:rsidR="005B628D">
                              <w:rPr>
                                <w:color w:val="FFFFFF" w:themeColor="background1"/>
                                <w:sz w:val="50"/>
                                <w:szCs w:val="50"/>
                                <w:lang w:val="nl-NL"/>
                                <w14:textOutline w14:w="9525" w14:cap="flat" w14:cmpd="sng" w14:algn="ctr">
                                  <w14:noFill/>
                                  <w14:prstDash w14:val="solid"/>
                                  <w14:round/>
                                </w14:textOutline>
                              </w:rPr>
                              <w:t>2030</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shape w14:anchorId="1EC44BA1" id="Text Box 6" o:spid="_x0000_s1027" type="#_x0000_t202" style="position:absolute;margin-left:191.25pt;margin-top:72.75pt;width:342pt;height:126pt;z-index:251662336;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" filled="f" stroked="f">
                <v:textbox>
                  <w:txbxContent>
                    <w:p w:rsidR="002F57B5" w:rsidRPr="00E6381B" w:rsidRDefault="00665553" w:rsidP="002F57B5">
                      <w:pPr>
                        <w:pStyle w:val="Headline"/>
                        <w:jc w:val="right"/>
                        <w:rPr>
                          <w:color w:val="FFFFFF" w:themeColor="background1"/>
                          <w:sz w:val="50"/>
                          <w:szCs w:val="50"/>
                          <w14:textOutline w14:w="9525" w14:cap="flat" w14:cmpd="sng" w14:algn="ctr">
                            <w14:noFill/>
                            <w14:prstDash w14:val="solid"/>
                            <w14:round/>
                          </w14:textOutline>
                        </w:rPr>
                      </w:pPr>
                      <w:r>
                        <w:rPr>
                          <w:color w:val="FFFFFF" w:themeColor="background1"/>
                          <w:sz w:val="50"/>
                          <w:szCs w:val="50"/>
                          <w:lang w:val="nl-NL"/>
                          <w14:textOutline w14:w="9525" w14:cap="flat" w14:cmpd="sng" w14:algn="ctr">
                            <w14:noFill/>
                            <w14:prstDash w14:val="solid"/>
                            <w14:round/>
                          </w14:textOutline>
                        </w:rPr>
                        <w:t xml:space="preserve">Implementatierichtlijn </w:t>
                      </w:r>
                      <w:r w:rsidR="005B628D">
                        <w:rPr>
                          <w:color w:val="FFFFFF" w:themeColor="background1"/>
                          <w:sz w:val="50"/>
                          <w:szCs w:val="50"/>
                          <w:lang w:val="nl-NL"/>
                          <w14:textOutline w14:w="9525" w14:cap="flat" w14:cmpd="sng" w14:algn="ctr">
                            <w14:noFill/>
                            <w14:prstDash w14:val="solid"/>
                            <w14:round/>
                          </w14:textOutline>
                        </w:rPr>
                        <w:t>2030</w:t>
                      </w:r>
                    </w:p>
                  </w:txbxContent>
                </v:textbox>
                <w10:wrap type="square" anchorx="page" anchory="page"/>
              </v:shape>
            </w:pict>
          </mc:Fallback>
        </mc:AlternateContent>
      </w:r>
    </w:p>
    <w:p w:rsidR="002F57B5" w:rsidRPr="00C525F8" w:rsidRDefault="00685768" w:rsidP="002F57B5">
      <w:pPr>
        <w:pStyle w:val="TemplateHeadline"/>
        <w:rPr>
          <w:rFonts w:asciiTheme="minorHAnsi" w:hAnsiTheme="minorHAnsi" w:cstheme="minorHAnsi"/>
          <w:lang w:val="nl-NL"/>
        </w:rPr>
      </w:pPr>
      <w:r w:rsidRPr="00C525F8">
        <w:rPr>
          <w:rFonts w:asciiTheme="minorHAnsi" w:hAnsiTheme="minorHAnsi" w:cstheme="minorHAnsi"/>
          <w:lang w:val="nl-NL"/>
        </w:rPr>
        <w:t xml:space="preserve">Inleiding </w:t>
      </w:r>
    </w:p>
    <w:p w:rsidR="00DA2E66" w:rsidRPr="00C525F8" w:rsidRDefault="00DA2E66" w:rsidP="00DA2E66">
      <w:pPr>
        <w:pStyle w:val="TemplateBodyText"/>
        <w:rPr>
          <w:rFonts w:asciiTheme="minorHAnsi" w:hAnsiTheme="minorHAnsi" w:cstheme="minorHAnsi"/>
          <w:sz w:val="22"/>
          <w:szCs w:val="22"/>
          <w:lang w:val="nl-NL"/>
        </w:rPr>
      </w:pPr>
      <w:r w:rsidRPr="00C525F8">
        <w:rPr>
          <w:rFonts w:asciiTheme="minorHAnsi" w:hAnsiTheme="minorHAnsi" w:cstheme="minorHAnsi"/>
          <w:sz w:val="22"/>
          <w:szCs w:val="22"/>
          <w:lang w:val="nl-NL"/>
        </w:rPr>
        <w:t xml:space="preserve">Bij de ontwikkeling van het internal auditplan (Standaard 2010) en de beoordeling ervan met het bestuur en het senior management (Standaard 2020), beschouwt en bespreekt het hoofd van de internal auditfunctie (CAE) de middelen die nodig zijn om de prioriteiten van het plan te realiseren. Voor het implementeren van Standaard 2030 begint de CAE gewoonlijk met het verwerven van een dieper inzicht in de middelen die beschikbaar zijn voor de internal auditfunctie in het door het bestuur </w:t>
      </w:r>
      <w:r w:rsidRPr="00C525F8">
        <w:rPr>
          <w:rFonts w:asciiTheme="minorHAnsi" w:hAnsiTheme="minorHAnsi" w:cstheme="minorHAnsi"/>
          <w:sz w:val="22"/>
          <w:szCs w:val="22"/>
          <w:lang w:val="nl-NL"/>
        </w:rPr>
        <w:lastRenderedPageBreak/>
        <w:t>goedgekeurde internal auditplan.</w:t>
      </w:r>
    </w:p>
    <w:p w:rsidR="00DA2E66" w:rsidRPr="00C525F8" w:rsidRDefault="00DA2E66" w:rsidP="00DA2E66">
      <w:pPr>
        <w:pStyle w:val="TemplateBodyText"/>
        <w:rPr>
          <w:rFonts w:asciiTheme="minorHAnsi" w:hAnsiTheme="minorHAnsi" w:cstheme="minorHAnsi"/>
          <w:sz w:val="22"/>
          <w:szCs w:val="22"/>
          <w:lang w:val="nl-NL"/>
        </w:rPr>
      </w:pPr>
      <w:r w:rsidRPr="00C525F8">
        <w:rPr>
          <w:rFonts w:asciiTheme="minorHAnsi" w:hAnsiTheme="minorHAnsi" w:cstheme="minorHAnsi"/>
          <w:sz w:val="22"/>
          <w:szCs w:val="22"/>
          <w:lang w:val="nl-NL"/>
        </w:rPr>
        <w:t>De CAE kan het aantal beschikbare medewerkers voor internal auditing en de beschikbare productieve arbeid voor het implementeren van het plan zorgvuldig beoordelen binnen de beperkingen van de planningen van de organisatie. Productieve arbeidsuren sluiten over het algemeen factoren als betaald verlof en tijd besteed aan training en administratieve taken uit. Om een ​​overzicht te krijgen van de collectieve kennis, vaardigheden en andere competenties van de internal auditfunctie kan de CAE een gedocumenteerde vaardigheidsbeoordeling inzien, indien beschikbaar, of informatie verzamelen van prestatiebeoordelingen van medewerkers en enquêtes na auditopdrachten.</w:t>
      </w:r>
    </w:p>
    <w:p w:rsidR="00DA2E66" w:rsidRPr="00C525F8" w:rsidRDefault="00DA2E66" w:rsidP="00DA2E66">
      <w:pPr>
        <w:pStyle w:val="TemplateBodyText"/>
        <w:rPr>
          <w:rFonts w:asciiTheme="minorHAnsi" w:hAnsiTheme="minorHAnsi" w:cstheme="minorHAnsi"/>
          <w:sz w:val="22"/>
          <w:szCs w:val="22"/>
          <w:lang w:val="nl-NL"/>
        </w:rPr>
      </w:pPr>
      <w:r w:rsidRPr="00C525F8">
        <w:rPr>
          <w:rFonts w:asciiTheme="minorHAnsi" w:hAnsiTheme="minorHAnsi" w:cstheme="minorHAnsi"/>
          <w:sz w:val="22"/>
          <w:szCs w:val="22"/>
          <w:lang w:val="nl-NL"/>
        </w:rPr>
        <w:t>Het kan ook zijn dat de CAE het goedgekeurde budget wenst te overwegen, evenals de beschikbare middelen voor training, technologie of extra personeel om het plan te bereiken.</w:t>
      </w:r>
    </w:p>
    <w:p w:rsidR="002C0B84" w:rsidRPr="00C525F8" w:rsidRDefault="002C0B84" w:rsidP="0081412E">
      <w:pPr>
        <w:pStyle w:val="TemplateHeadline"/>
        <w:rPr>
          <w:rFonts w:asciiTheme="minorHAnsi" w:hAnsiTheme="minorHAnsi" w:cstheme="minorHAnsi"/>
          <w:color w:val="000000"/>
          <w:sz w:val="22"/>
          <w:szCs w:val="22"/>
          <w:lang w:val="nl-NL"/>
        </w:rPr>
      </w:pPr>
    </w:p>
    <w:p w:rsidR="002F57B5" w:rsidRPr="00C525F8" w:rsidRDefault="00685768" w:rsidP="002F57B5">
      <w:pPr>
        <w:pStyle w:val="TemplateHeadline"/>
        <w:rPr>
          <w:rFonts w:asciiTheme="minorHAnsi" w:hAnsiTheme="minorHAnsi" w:cstheme="minorHAnsi"/>
          <w:lang w:val="nl-NL"/>
        </w:rPr>
      </w:pPr>
      <w:r w:rsidRPr="00C525F8">
        <w:rPr>
          <w:rFonts w:asciiTheme="minorHAnsi" w:hAnsiTheme="minorHAnsi" w:cstheme="minorHAnsi"/>
          <w:lang w:val="nl-NL"/>
        </w:rPr>
        <w:t xml:space="preserve">Overwegingen bij de implementatie </w:t>
      </w:r>
    </w:p>
    <w:p w:rsidR="00922258" w:rsidRPr="00C525F8" w:rsidRDefault="00922258" w:rsidP="00922258">
      <w:pPr>
        <w:pStyle w:val="TemplateBodyText"/>
        <w:rPr>
          <w:rFonts w:asciiTheme="minorHAnsi" w:hAnsiTheme="minorHAnsi" w:cstheme="minorHAnsi"/>
          <w:sz w:val="22"/>
          <w:szCs w:val="22"/>
          <w:lang w:val="nl-NL"/>
        </w:rPr>
      </w:pPr>
      <w:r w:rsidRPr="00C525F8">
        <w:rPr>
          <w:rFonts w:asciiTheme="minorHAnsi" w:hAnsiTheme="minorHAnsi" w:cstheme="minorHAnsi"/>
          <w:sz w:val="22"/>
          <w:szCs w:val="22"/>
          <w:lang w:val="nl-NL"/>
        </w:rPr>
        <w:t>Bij de toewijzing van specifieke middelen aan de opdrachten die zijn geïdentificeerd in het goedgekeurde internal auditplan, kan de CAE bepalen in hoeverre de beschikbare middelen corresponderen met de specifieke vaardigheden en timing die nodig zijn om de opdrachten uit te voeren. Tijdens dit proces vult de CAE doorgaans eventuele leemtes op die mogelijk zijn geïdentificeerd.</w:t>
      </w:r>
    </w:p>
    <w:p w:rsidR="00922258" w:rsidRPr="00C525F8" w:rsidRDefault="00922258" w:rsidP="00922258">
      <w:pPr>
        <w:pStyle w:val="TemplateBodyText"/>
        <w:rPr>
          <w:rFonts w:asciiTheme="minorHAnsi" w:hAnsiTheme="minorHAnsi" w:cstheme="minorHAnsi"/>
          <w:sz w:val="22"/>
          <w:szCs w:val="22"/>
          <w:lang w:val="nl-NL"/>
        </w:rPr>
      </w:pPr>
      <w:r w:rsidRPr="00C525F8">
        <w:rPr>
          <w:rFonts w:asciiTheme="minorHAnsi" w:hAnsiTheme="minorHAnsi" w:cstheme="minorHAnsi"/>
          <w:sz w:val="22"/>
          <w:szCs w:val="22"/>
          <w:lang w:val="nl-NL"/>
        </w:rPr>
        <w:t>Om de leemtes in kennis, vaardigheden en competenties van de medewerkers van internal auditing op te vullen, zou de CAE training kunnen geven aan bestaande medewerkers, een deskundige van binnen de organisatie kunnen verzoeken om als gastauditor op te treden, extra personeel kunnen inhuren of een externe dienstverlener in de arm kunnen nemen. Als de hoeveelheid middelen onvoldoende is om de geplande opdrachten efficiënt en effectief te dekken, kan de CAE extra personeel in dienst nemen, opdrachten uitbesteden, samen met derden aan opdrachten werken, één of meer gastauditors gebruiken of een roterend auditprogramma ontwikkelen.</w:t>
      </w:r>
    </w:p>
    <w:p w:rsidR="00922258" w:rsidRPr="00C525F8" w:rsidRDefault="00922258" w:rsidP="00922258">
      <w:pPr>
        <w:pStyle w:val="TemplateBodyText"/>
        <w:rPr>
          <w:rFonts w:asciiTheme="minorHAnsi" w:hAnsiTheme="minorHAnsi" w:cstheme="minorHAnsi"/>
          <w:sz w:val="22"/>
          <w:szCs w:val="22"/>
          <w:lang w:val="nl-NL"/>
        </w:rPr>
      </w:pPr>
      <w:r w:rsidRPr="00C525F8">
        <w:rPr>
          <w:rFonts w:asciiTheme="minorHAnsi" w:hAnsiTheme="minorHAnsi" w:cstheme="minorHAnsi"/>
          <w:sz w:val="22"/>
          <w:szCs w:val="22"/>
          <w:lang w:val="nl-NL"/>
        </w:rPr>
        <w:t xml:space="preserve">Bij de ontwikkeling van een planning voor internal auditopdrachten, houdt de CAE rekening met de planning van de organisatie, de planningen van individuele internal auditors en de beschikbaarheid van te auditeren entiteiten. Bijvoorbeeld, als een auditopdracht moet plaatsvinden gedurende een bepaalde </w:t>
      </w:r>
      <w:r w:rsidRPr="00C525F8">
        <w:rPr>
          <w:rFonts w:asciiTheme="minorHAnsi" w:hAnsiTheme="minorHAnsi" w:cstheme="minorHAnsi"/>
          <w:sz w:val="22"/>
          <w:szCs w:val="22"/>
          <w:lang w:val="nl-NL"/>
        </w:rPr>
        <w:lastRenderedPageBreak/>
        <w:t>tijd van het jaar, moeten de middelen die nodig zijn om die opdracht te voltooien ook op dat moment beschikbaar zijn. Evenzo geldt dat wanneer een entiteit niet of beperkt beschikbaar is voor een audit gedurende een bepaalde periode van het jaar, de opdracht zodanig zou moeten worden gepland dat deze periode wordt vermeden.</w:t>
      </w:r>
    </w:p>
    <w:p w:rsidR="00E90A08" w:rsidRPr="00C525F8" w:rsidRDefault="00922258" w:rsidP="00922258">
      <w:pPr>
        <w:pStyle w:val="TemplateBodyText"/>
        <w:rPr>
          <w:rFonts w:asciiTheme="minorHAnsi" w:hAnsiTheme="minorHAnsi" w:cstheme="minorHAnsi"/>
          <w:sz w:val="22"/>
          <w:szCs w:val="22"/>
          <w:lang w:val="nl-NL"/>
        </w:rPr>
      </w:pPr>
      <w:r w:rsidRPr="00C525F8">
        <w:rPr>
          <w:rFonts w:asciiTheme="minorHAnsi" w:hAnsiTheme="minorHAnsi" w:cstheme="minorHAnsi"/>
          <w:sz w:val="22"/>
          <w:szCs w:val="22"/>
          <w:lang w:val="nl-NL"/>
        </w:rPr>
        <w:t>Omdat de CAE moet rapporteren over het effect van de beperkingen van middelen (Standaard 2020) en over de prestaties van de internal auditfunctie ten opzichte van haar plan (Standaard 2060), is het belangrijk dat de CAE de algehele toereikendheid van de middelen voortdurend meet. Om te bevestigen dat de middelen adequaat, voldoende en effectief zijn ingezet, stelt de CAE parameters vast voor de beoordeling van de prestaties van de internal auditfunctie en vraagt feedback van internal auditklanten</w:t>
      </w:r>
      <w:r w:rsidR="00E90A08" w:rsidRPr="00C525F8">
        <w:rPr>
          <w:rFonts w:asciiTheme="minorHAnsi" w:hAnsiTheme="minorHAnsi" w:cstheme="minorHAnsi"/>
          <w:sz w:val="22"/>
          <w:szCs w:val="22"/>
          <w:lang w:val="nl-NL"/>
        </w:rPr>
        <w:t>.</w:t>
      </w:r>
    </w:p>
    <w:p w:rsidR="002F57B5" w:rsidRPr="00C525F8" w:rsidRDefault="002F57B5" w:rsidP="002F57B5">
      <w:pPr>
        <w:pStyle w:val="TemplateHeadline"/>
        <w:rPr>
          <w:rFonts w:asciiTheme="minorHAnsi" w:hAnsiTheme="minorHAnsi" w:cstheme="minorHAnsi"/>
          <w:color w:val="000000"/>
          <w:sz w:val="22"/>
          <w:szCs w:val="22"/>
          <w:lang w:val="nl-NL"/>
        </w:rPr>
      </w:pPr>
    </w:p>
    <w:p w:rsidR="002F57B5" w:rsidRPr="00C525F8" w:rsidRDefault="00685768" w:rsidP="002F57B5">
      <w:pPr>
        <w:pStyle w:val="TemplateHeadline"/>
        <w:rPr>
          <w:rFonts w:asciiTheme="minorHAnsi" w:hAnsiTheme="minorHAnsi" w:cstheme="minorHAnsi"/>
          <w:lang w:val="nl-NL"/>
        </w:rPr>
      </w:pPr>
      <w:r w:rsidRPr="00C525F8">
        <w:rPr>
          <w:rFonts w:asciiTheme="minorHAnsi" w:hAnsiTheme="minorHAnsi" w:cstheme="minorHAnsi"/>
          <w:lang w:val="nl-NL"/>
        </w:rPr>
        <w:t>Overwegingen b</w:t>
      </w:r>
      <w:r w:rsidR="002F57B5" w:rsidRPr="00C525F8">
        <w:rPr>
          <w:rFonts w:asciiTheme="minorHAnsi" w:hAnsiTheme="minorHAnsi" w:cstheme="minorHAnsi"/>
          <w:lang w:val="nl-NL"/>
        </w:rPr>
        <w:t>ij het aantonen van de naleving</w:t>
      </w:r>
    </w:p>
    <w:p w:rsidR="00443735" w:rsidRPr="00C525F8" w:rsidRDefault="00922258" w:rsidP="00443735">
      <w:pPr>
        <w:pStyle w:val="TemplateBodyText"/>
        <w:rPr>
          <w:rFonts w:asciiTheme="minorHAnsi" w:hAnsiTheme="minorHAnsi" w:cstheme="minorHAnsi"/>
          <w:sz w:val="22"/>
          <w:szCs w:val="22"/>
          <w:lang w:val="nl-NL"/>
        </w:rPr>
      </w:pPr>
      <w:r w:rsidRPr="00C525F8">
        <w:rPr>
          <w:rFonts w:asciiTheme="minorHAnsi" w:hAnsiTheme="minorHAnsi" w:cstheme="minorHAnsi"/>
          <w:sz w:val="22"/>
          <w:szCs w:val="22"/>
          <w:lang w:val="nl-NL"/>
        </w:rPr>
        <w:t>Het internal auditplan zou kunnen behoren tot de documentatie die naleving van Standaard 2030 aantoont. Dit plan bevat het geschatte tijdschema van auditopdrachten en toegewezen middelen. Daarnaast kan na de audit een vergelijking van begrote uren en werkelijke uren worden gedocumenteerd om te valideren dat de middelen effectief zijn ingezet. De resultaten van klantenbeoordelingen die verband houden met de prestaties van de internal auditfunctie en individuele internal auditors worden vaak genoteerd in post-audit rapporten, enquêtes en jaarverslagen</w:t>
      </w:r>
      <w:r w:rsidR="00443735" w:rsidRPr="00C525F8">
        <w:rPr>
          <w:rFonts w:asciiTheme="minorHAnsi" w:hAnsiTheme="minorHAnsi" w:cstheme="minorHAnsi"/>
          <w:sz w:val="22"/>
          <w:szCs w:val="22"/>
          <w:lang w:val="nl-NL"/>
        </w:rPr>
        <w:t>.</w:t>
      </w:r>
    </w:p>
    <w:p w:rsidR="002F57B5" w:rsidRPr="00C525F8" w:rsidRDefault="00685768" w:rsidP="00443735">
      <w:pPr>
        <w:pStyle w:val="TemplateBodyText"/>
        <w:rPr>
          <w:rFonts w:asciiTheme="minorHAnsi" w:hAnsiTheme="minorHAnsi" w:cstheme="minorHAnsi"/>
          <w:lang w:val="nl-NL"/>
        </w:rPr>
      </w:pPr>
      <w:r w:rsidRPr="00C525F8">
        <w:rPr>
          <w:rFonts w:asciiTheme="minorHAnsi" w:hAnsiTheme="minorHAnsi" w:cstheme="minorHAnsi"/>
          <w:noProof/>
          <w:lang w:val="nl-NL" w:eastAsia="nl-NL"/>
        </w:rPr>
        <w:lastRenderedPageBreak/>
        <mc:AlternateContent>
          <mc:Choice Requires="wps">
            <w:drawing>
              <wp:anchor distT="457200" distB="274320" distL="114300" distR="114300" simplePos="0" relativeHeight="251660288" behindDoc="0" locked="0" layoutInCell="1" allowOverlap="1">
                <wp:simplePos x="0" y="0"/>
                <wp:positionH relativeFrom="margin">
                  <wp:align>right</wp:align>
                </wp:positionH>
                <wp:positionV relativeFrom="page">
                  <wp:posOffset>3857625</wp:posOffset>
                </wp:positionV>
                <wp:extent cx="6400800" cy="5133975"/>
                <wp:effectExtent l="0" t="0" r="0" b="9525"/>
                <wp:wrapSquare wrapText="bothSides"/>
                <wp:docPr id="1" name="Text Box 1"/>
                <wp:cNvGraphicFramePr/>
                <a:graphic xmlns:a="http://schemas.openxmlformats.org/drawingml/2006/main">
                  <a:graphicData uri="http://schemas.microsoft.com/office/word/2010/wordprocessingShape">
                    <wps:wsp>
                      <wps:cNvSpPr txBox="1"/>
                      <wps:spPr>
                        <a:xfrm>
                          <a:off x="0" y="0"/>
                          <a:ext cx="6400800" cy="5133975"/>
                        </a:xfrm>
                        <a:prstGeom prst="rect">
                          <a:avLst/>
                        </a:prstGeom>
                        <a:solidFill>
                          <a:sysClr val="window" lastClr="FFFFFF">
                            <a:lumMod val="85000"/>
                          </a:sysClr>
                        </a:solid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rsidR="002F57B5" w:rsidRPr="00E6381B" w:rsidRDefault="002F57B5" w:rsidP="00685768">
                            <w:pPr>
                              <w:pStyle w:val="BoilerplateHeadline"/>
                            </w:pPr>
                            <w:r w:rsidRPr="00E6381B">
                              <w:rPr>
                                <w:lang w:val="nl-NL"/>
                              </w:rPr>
                              <w:t xml:space="preserve">Over het IIA </w:t>
                            </w:r>
                          </w:p>
                          <w:p w:rsidR="002F57B5" w:rsidRPr="001A0D5D" w:rsidRDefault="002F57B5" w:rsidP="00685768">
                            <w:pPr>
                              <w:pStyle w:val="BoilerplateBodyText"/>
                            </w:pPr>
                            <w:r w:rsidRPr="001A0D5D">
                              <w:rPr>
                                <w:lang w:val="nl-NL"/>
                              </w:rPr>
                              <w:t xml:space="preserve">Het </w:t>
                            </w:r>
                            <w:r w:rsidRPr="001A0D5D">
                              <w:rPr>
                                <w:i/>
                                <w:iCs/>
                                <w:lang w:val="nl-NL"/>
                              </w:rPr>
                              <w:t xml:space="preserve">Institute of Internal Auditors </w:t>
                            </w:r>
                            <w:r w:rsidRPr="001A0D5D">
                              <w:rPr>
                                <w:lang w:val="nl-NL"/>
                              </w:rPr>
                              <w:t>(IIA) is internationaal de meest vooraanstaande beroepsorganisatie van de internal auditors. Het instituut treedt op als belangenbehartiger, houdt zich bezig met educatie en verstrekt standaarden, richtsnoeren en certificeringen. Het IIA werd opgericht in 1941 en heeft inmiddels meer dan 180.000 leden in ruim 170 landen. Het wereldwijde hoofdkantoor van het IIA staat in de Verenigde Staten in Lake Mary, Florida. Ga voor andere informatie naar www.globaliia.org of www.theiia.org.</w:t>
                            </w:r>
                          </w:p>
                          <w:p w:rsidR="002F57B5" w:rsidRPr="00E6381B" w:rsidRDefault="002F57B5" w:rsidP="00685768">
                            <w:pPr>
                              <w:pStyle w:val="BoilerplateHeadline"/>
                            </w:pPr>
                            <w:r w:rsidRPr="00E6381B">
                              <w:rPr>
                                <w:lang w:val="nl-NL"/>
                              </w:rPr>
                              <w:t>Over de Implementatierichtlijnen</w:t>
                            </w:r>
                          </w:p>
                          <w:p w:rsidR="002F57B5" w:rsidRDefault="002F57B5" w:rsidP="00685768">
                            <w:pPr>
                              <w:autoSpaceDE w:val="0"/>
                              <w:autoSpaceDN w:val="0"/>
                              <w:adjustRightInd w:val="0"/>
                              <w:spacing w:after="180" w:line="288" w:lineRule="auto"/>
                              <w:rPr>
                                <w:rFonts w:ascii="ArialMT" w:hAnsi="ArialMT" w:cs="ArialMT"/>
                                <w:color w:val="000000"/>
                                <w:sz w:val="18"/>
                                <w:szCs w:val="18"/>
                              </w:rPr>
                            </w:pPr>
                            <w:r w:rsidRPr="00362566">
                              <w:rPr>
                                <w:rFonts w:ascii="ArialMT" w:hAnsi="ArialMT" w:cs="ArialMT"/>
                                <w:color w:val="000000"/>
                                <w:sz w:val="18"/>
                                <w:szCs w:val="18"/>
                                <w:lang w:val="nl-NL"/>
                              </w:rPr>
                              <w:t xml:space="preserve">De Implementatierichtlijnen maken deel uit van het </w:t>
                            </w:r>
                            <w:r w:rsidRPr="00362566">
                              <w:rPr>
                                <w:rFonts w:ascii="ArialMT" w:hAnsi="ArialMT" w:cs="ArialMT"/>
                                <w:i/>
                                <w:iCs/>
                                <w:color w:val="000000"/>
                                <w:sz w:val="18"/>
                                <w:szCs w:val="18"/>
                                <w:lang w:val="nl-NL"/>
                              </w:rPr>
                              <w:t>International Professional Practices Framework</w:t>
                            </w:r>
                            <w:r w:rsidRPr="00362566">
                              <w:rPr>
                                <w:rFonts w:ascii="ArialMT" w:hAnsi="ArialMT" w:cs="ArialMT"/>
                                <w:color w:val="000000"/>
                                <w:sz w:val="18"/>
                                <w:szCs w:val="18"/>
                                <w:lang w:val="nl-NL"/>
                              </w:rPr>
                              <w:t xml:space="preserve">® (IPPF®) van het IIA en bevatten (niet-verplichte) richtsnoeren voor het beroep van internal auditor. Doel van de Implementatierichtlijnen is ondersteuning te bieden aan internal auditors en internal auditfuncties zodat zij beter in staat zijn om de </w:t>
                            </w:r>
                            <w:r w:rsidRPr="00362566">
                              <w:rPr>
                                <w:rFonts w:ascii="ArialMT" w:hAnsi="ArialMT" w:cs="ArialMT"/>
                                <w:i/>
                                <w:iCs/>
                                <w:color w:val="000000"/>
                                <w:sz w:val="18"/>
                                <w:szCs w:val="18"/>
                                <w:lang w:val="nl-NL"/>
                              </w:rPr>
                              <w:t>International Standards for the Professional Practice of Internal Auditing</w:t>
                            </w:r>
                            <w:r w:rsidRPr="00362566">
                              <w:rPr>
                                <w:rFonts w:ascii="ArialMT" w:hAnsi="ArialMT" w:cs="ArialMT"/>
                                <w:color w:val="000000"/>
                                <w:sz w:val="18"/>
                                <w:szCs w:val="18"/>
                                <w:lang w:val="nl-NL"/>
                              </w:rPr>
                              <w:t xml:space="preserve"> (Standaarden) na te leven. </w:t>
                            </w:r>
                          </w:p>
                          <w:p w:rsidR="002F57B5" w:rsidRDefault="002F57B5" w:rsidP="00685768">
                            <w:pPr>
                              <w:pStyle w:val="BoilerplateBodyText"/>
                              <w:ind w:right="60"/>
                            </w:pPr>
                            <w:r w:rsidRPr="00500B34">
                              <w:rPr>
                                <w:lang w:val="nl-NL"/>
                              </w:rPr>
                              <w:t xml:space="preserve">De Implementatierichtlijnen ondersteunen internal auditors bij het toepassen van de Standaarden. De Implementatierichtlijnen beschrijven de aanpak, methodieken en overwegingen die de internal auditfunctie moet hanteren, maar gaan niet in detail in op processen of procedures. </w:t>
                            </w:r>
                          </w:p>
                          <w:p w:rsidR="002F57B5" w:rsidRDefault="002F57B5" w:rsidP="00685768">
                            <w:pPr>
                              <w:pStyle w:val="BoilerplateBodyText"/>
                              <w:ind w:right="60"/>
                            </w:pPr>
                            <w:r>
                              <w:rPr>
                                <w:lang w:val="nl-NL"/>
                              </w:rPr>
                              <w:t xml:space="preserve">Andere gezaghebbende richtlijnen van het IIA kunt u vinden op onze websites: www.globaliia.org/standards-guidance en www.theiia.org/guidance. </w:t>
                            </w:r>
                          </w:p>
                          <w:p w:rsidR="002F57B5" w:rsidRDefault="002F57B5" w:rsidP="00685768">
                            <w:pPr>
                              <w:pStyle w:val="BoilerplateHeadline"/>
                            </w:pPr>
                            <w:r>
                              <w:rPr>
                                <w:lang w:val="nl-NL"/>
                              </w:rPr>
                              <w:t>Disclaimer</w:t>
                            </w:r>
                          </w:p>
                          <w:p w:rsidR="002F57B5" w:rsidRDefault="002F57B5" w:rsidP="00685768">
                            <w:pPr>
                              <w:pStyle w:val="BoilerplateBodyText"/>
                            </w:pPr>
                            <w:r>
                              <w:rPr>
                                <w:lang w:val="nl-NL"/>
                              </w:rPr>
                              <w:t xml:space="preserve">Dit document is door het IIA gepubliceerd voor informatieve en educatieve doeleinden. Deze Richtlijnen hebben niet tot doel definitieve antwoorden te geven op specifieke individuele vragen en zijn derhalve slechts bedoeld als richtsnoer. Het IIA raadt aan om met betrekking tot een specifieke situatie altijd onafhankelijk deskundig advies ter zake in te winnen. Het IIA accepteert geen verantwoordelijkheid voor de gevolgen indien men uitsluitend afgaat op deze Richtlijnen. </w:t>
                            </w:r>
                          </w:p>
                          <w:p w:rsidR="002F57B5" w:rsidRDefault="002F57B5" w:rsidP="00685768">
                            <w:pPr>
                              <w:pStyle w:val="BoilerplateHeadline"/>
                              <w:spacing w:after="60"/>
                            </w:pPr>
                            <w:r>
                              <w:rPr>
                                <w:lang w:val="nl-NL"/>
                              </w:rPr>
                              <w:t>Auteursrecht</w:t>
                            </w:r>
                          </w:p>
                          <w:p w:rsidR="002F57B5" w:rsidRDefault="002F57B5" w:rsidP="00685768">
                            <w:pPr>
                              <w:pStyle w:val="BoilerplateBodyText"/>
                            </w:pPr>
                            <w:r>
                              <w:rPr>
                                <w:lang w:val="nl-NL"/>
                              </w:rPr>
                              <w:t>Copyright</w:t>
                            </w:r>
                            <w:r>
                              <w:rPr>
                                <w:vertAlign w:val="superscript"/>
                                <w:lang w:val="nl-NL"/>
                              </w:rPr>
                              <w:t>®</w:t>
                            </w:r>
                            <w:r>
                              <w:rPr>
                                <w:lang w:val="nl-NL"/>
                              </w:rPr>
                              <w:t xml:space="preserve"> 2016 </w:t>
                            </w:r>
                            <w:r>
                              <w:rPr>
                                <w:i/>
                                <w:iCs/>
                                <w:lang w:val="nl-NL"/>
                              </w:rPr>
                              <w:t xml:space="preserve">The Institute of Internal Auditors. </w:t>
                            </w:r>
                            <w:r>
                              <w:rPr>
                                <w:lang w:val="nl-NL"/>
                              </w:rPr>
                              <w:t xml:space="preserve">Toestemming voor reproductie van deze publicatie kunt u per e-mail aanvragen via guidance@theiia.org. </w:t>
                            </w:r>
                          </w:p>
                          <w:p w:rsidR="002F57B5" w:rsidRPr="00E6381B" w:rsidRDefault="002F57B5" w:rsidP="002F57B5"/>
                        </w:txbxContent>
                      </wps:txbx>
                      <wps:bodyPr rot="0" spcFirstLastPara="0" vertOverflow="overflow" horzOverflow="overflow" vert="horz" wrap="square" lIns="182880" tIns="301752" rIns="182880" bIns="301752"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 o:spid="_x0000_s1028" type="#_x0000_t202" style="position:absolute;margin-left:452.8pt;margin-top:303.75pt;width:7in;height:404.25pt;z-index:251660288;visibility:visible;mso-wrap-style:square;mso-height-percent:0;mso-wrap-distance-left:9pt;mso-wrap-distance-top:36pt;mso-wrap-distance-right:9pt;mso-wrap-distance-bottom:21.6pt;mso-position-horizontal:right;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" fillcolor="#d9d9d9" stroked="f">
                <v:textbox inset="14.4pt,23.76pt,14.4pt,23.76pt">
                  <w:txbxContent>
                    <w:p w:rsidR="002F57B5" w:rsidRPr="00E6381B" w:rsidRDefault="002F57B5" w:rsidP="00685768">
                      <w:pPr>
                        <w:pStyle w:val="BoilerplateHeadline"/>
                      </w:pPr>
                      <w:r w:rsidRPr="00E6381B">
                        <w:rPr>
                          <w:lang w:val="nl-NL"/>
                        </w:rPr>
                        <w:t xml:space="preserve">Over het IIA </w:t>
                      </w:r>
                    </w:p>
                    <w:p w:rsidR="002F57B5" w:rsidRPr="001A0D5D" w:rsidRDefault="002F57B5" w:rsidP="00685768">
                      <w:pPr>
                        <w:pStyle w:val="BoilerplateBodyText"/>
                      </w:pPr>
                      <w:r w:rsidRPr="001A0D5D">
                        <w:rPr>
                          <w:lang w:val="nl-NL"/>
                        </w:rPr>
                        <w:t xml:space="preserve">Het </w:t>
                      </w:r>
                      <w:r w:rsidRPr="001A0D5D">
                        <w:rPr>
                          <w:i/>
                          <w:iCs/>
                          <w:lang w:val="nl-NL"/>
                        </w:rPr>
                        <w:t xml:space="preserve">Institute of Internal Auditors </w:t>
                      </w:r>
                      <w:r w:rsidRPr="001A0D5D">
                        <w:rPr>
                          <w:lang w:val="nl-NL"/>
                        </w:rPr>
                        <w:t>(IIA) is internationaal de meest vooraanstaande beroepsorganisatie van de internal auditors. Het instituut treedt op als belangenbehartiger, houdt zich bezig met educatie en verstrekt standaarden, richtsnoeren en certificeringen. Het IIA werd opgericht in 1941 en heeft inmiddels meer dan 180.000 leden in ruim 170 landen. Het wereldwijde hoofdkantoor van het IIA staat in de Verenigde Staten in Lake Mary, Florida. Ga voor andere informatie naar www.globaliia.org of www.theiia.org.</w:t>
                      </w:r>
                    </w:p>
                    <w:p w:rsidR="002F57B5" w:rsidRPr="00E6381B" w:rsidRDefault="002F57B5" w:rsidP="00685768">
                      <w:pPr>
                        <w:pStyle w:val="BoilerplateHeadline"/>
                      </w:pPr>
                      <w:r w:rsidRPr="00E6381B">
                        <w:rPr>
                          <w:lang w:val="nl-NL"/>
                        </w:rPr>
                        <w:t>Over de Implementatierichtlijnen</w:t>
                      </w:r>
                    </w:p>
                    <w:p w:rsidR="002F57B5" w:rsidRDefault="002F57B5" w:rsidP="00685768">
                      <w:pPr>
                        <w:autoSpaceDE w:val="0"/>
                        <w:autoSpaceDN w:val="0"/>
                        <w:adjustRightInd w:val="0"/>
                        <w:spacing w:after="180" w:line="288" w:lineRule="auto"/>
                        <w:rPr>
                          <w:rFonts w:ascii="ArialMT" w:hAnsi="ArialMT" w:cs="ArialMT"/>
                          <w:color w:val="000000"/>
                          <w:sz w:val="18"/>
                          <w:szCs w:val="18"/>
                        </w:rPr>
                      </w:pPr>
                      <w:r w:rsidRPr="00362566">
                        <w:rPr>
                          <w:rFonts w:ascii="ArialMT" w:hAnsi="ArialMT" w:cs="ArialMT"/>
                          <w:color w:val="000000"/>
                          <w:sz w:val="18"/>
                          <w:szCs w:val="18"/>
                          <w:lang w:val="nl-NL"/>
                        </w:rPr>
                        <w:t xml:space="preserve">De Implementatierichtlijnen maken deel uit van het </w:t>
                      </w:r>
                      <w:r w:rsidRPr="00362566">
                        <w:rPr>
                          <w:rFonts w:ascii="ArialMT" w:hAnsi="ArialMT" w:cs="ArialMT"/>
                          <w:i/>
                          <w:iCs/>
                          <w:color w:val="000000"/>
                          <w:sz w:val="18"/>
                          <w:szCs w:val="18"/>
                          <w:lang w:val="nl-NL"/>
                        </w:rPr>
                        <w:t>International Professional Practices Framework</w:t>
                      </w:r>
                      <w:r w:rsidRPr="00362566">
                        <w:rPr>
                          <w:rFonts w:ascii="ArialMT" w:hAnsi="ArialMT" w:cs="ArialMT"/>
                          <w:color w:val="000000"/>
                          <w:sz w:val="18"/>
                          <w:szCs w:val="18"/>
                          <w:lang w:val="nl-NL"/>
                        </w:rPr>
                        <w:t xml:space="preserve">® (IPPF®) van het IIA en bevatten (niet-verplichte) richtsnoeren voor het beroep van internal auditor. Doel van de Implementatierichtlijnen is ondersteuning te bieden aan internal auditors en internal auditfuncties zodat zij beter in staat zijn om de </w:t>
                      </w:r>
                      <w:r w:rsidRPr="00362566">
                        <w:rPr>
                          <w:rFonts w:ascii="ArialMT" w:hAnsi="ArialMT" w:cs="ArialMT"/>
                          <w:i/>
                          <w:iCs/>
                          <w:color w:val="000000"/>
                          <w:sz w:val="18"/>
                          <w:szCs w:val="18"/>
                          <w:lang w:val="nl-NL"/>
                        </w:rPr>
                        <w:t>International Standards for the Professional Practice of Internal Auditing</w:t>
                      </w:r>
                      <w:r w:rsidRPr="00362566">
                        <w:rPr>
                          <w:rFonts w:ascii="ArialMT" w:hAnsi="ArialMT" w:cs="ArialMT"/>
                          <w:color w:val="000000"/>
                          <w:sz w:val="18"/>
                          <w:szCs w:val="18"/>
                          <w:lang w:val="nl-NL"/>
                        </w:rPr>
                        <w:t xml:space="preserve"> (Standaarden) na te leven. </w:t>
                      </w:r>
                    </w:p>
                    <w:p w:rsidR="002F57B5" w:rsidRDefault="002F57B5" w:rsidP="00685768">
                      <w:pPr>
                        <w:pStyle w:val="BoilerplateBodyText"/>
                        <w:ind w:right="60"/>
                      </w:pPr>
                      <w:r w:rsidRPr="00500B34">
                        <w:rPr>
                          <w:lang w:val="nl-NL"/>
                        </w:rPr>
                        <w:t xml:space="preserve">De Implementatierichtlijnen ondersteunen internal auditors bij het toepassen van de Standaarden. De Implementatierichtlijnen beschrijven de aanpak, methodieken en overwegingen die de internal auditfunctie moet hanteren, maar gaan niet in detail in op processen of procedures. </w:t>
                      </w:r>
                    </w:p>
                    <w:p w:rsidR="002F57B5" w:rsidRDefault="002F57B5" w:rsidP="00685768">
                      <w:pPr>
                        <w:pStyle w:val="BoilerplateBodyText"/>
                        <w:ind w:right="60"/>
                      </w:pPr>
                      <w:r>
                        <w:rPr>
                          <w:lang w:val="nl-NL"/>
                        </w:rPr>
                        <w:t xml:space="preserve">Andere gezaghebbende richtlijnen van het IIA kunt u vinden op onze websites: www.globaliia.org/standards-guidance en www.theiia.org/guidance. </w:t>
                      </w:r>
                    </w:p>
                    <w:p w:rsidR="002F57B5" w:rsidRDefault="002F57B5" w:rsidP="00685768">
                      <w:pPr>
                        <w:pStyle w:val="BoilerplateHeadline"/>
                      </w:pPr>
                      <w:r>
                        <w:rPr>
                          <w:lang w:val="nl-NL"/>
                        </w:rPr>
                        <w:t>Disclaimer</w:t>
                      </w:r>
                    </w:p>
                    <w:p w:rsidR="002F57B5" w:rsidRDefault="002F57B5" w:rsidP="00685768">
                      <w:pPr>
                        <w:pStyle w:val="BoilerplateBodyText"/>
                      </w:pPr>
                      <w:r>
                        <w:rPr>
                          <w:lang w:val="nl-NL"/>
                        </w:rPr>
                        <w:t xml:space="preserve">Dit document is door het IIA gepubliceerd voor informatieve en educatieve doeleinden. Deze Richtlijnen hebben niet tot doel definitieve antwoorden te geven op specifieke individuele vragen en zijn derhalve slechts bedoeld als richtsnoer. Het IIA raadt aan om met betrekking tot een specifieke situatie altijd onafhankelijk deskundig advies ter zake in te winnen. Het IIA accepteert geen verantwoordelijkheid voor de gevolgen indien men uitsluitend afgaat op deze Richtlijnen. </w:t>
                      </w:r>
                    </w:p>
                    <w:p w:rsidR="002F57B5" w:rsidRDefault="002F57B5" w:rsidP="00685768">
                      <w:pPr>
                        <w:pStyle w:val="BoilerplateHeadline"/>
                        <w:spacing w:after="60"/>
                      </w:pPr>
                      <w:r>
                        <w:rPr>
                          <w:lang w:val="nl-NL"/>
                        </w:rPr>
                        <w:t>Auteursrecht</w:t>
                      </w:r>
                    </w:p>
                    <w:p w:rsidR="002F57B5" w:rsidRDefault="002F57B5" w:rsidP="00685768">
                      <w:pPr>
                        <w:pStyle w:val="BoilerplateBodyText"/>
                      </w:pPr>
                      <w:r>
                        <w:rPr>
                          <w:lang w:val="nl-NL"/>
                        </w:rPr>
                        <w:t>Copyright</w:t>
                      </w:r>
                      <w:r>
                        <w:rPr>
                          <w:vertAlign w:val="superscript"/>
                          <w:lang w:val="nl-NL"/>
                        </w:rPr>
                        <w:t>®</w:t>
                      </w:r>
                      <w:r>
                        <w:rPr>
                          <w:lang w:val="nl-NL"/>
                        </w:rPr>
                        <w:t xml:space="preserve"> 2016 </w:t>
                      </w:r>
                      <w:r>
                        <w:rPr>
                          <w:i/>
                          <w:iCs/>
                          <w:lang w:val="nl-NL"/>
                        </w:rPr>
                        <w:t xml:space="preserve">The Institute of Internal Auditors. </w:t>
                      </w:r>
                      <w:r>
                        <w:rPr>
                          <w:lang w:val="nl-NL"/>
                        </w:rPr>
                        <w:t xml:space="preserve">Toestemming voor reproductie van deze publicatie kunt u per e-mail aanvragen via guidance@theiia.org. </w:t>
                      </w:r>
                    </w:p>
                    <w:p w:rsidR="002F57B5" w:rsidRPr="00E6381B" w:rsidRDefault="002F57B5" w:rsidP="002F57B5"/>
                  </w:txbxContent>
                </v:textbox>
                <w10:wrap type="square" anchorx="margin" anchory="page"/>
              </v:shape>
            </w:pict>
          </mc:Fallback>
        </mc:AlternateContent>
      </w:r>
    </w:p>
    <w:sectPr w:rsidR="002F57B5" w:rsidRPr="00C525F8" w:rsidSect="002F57B5">
      <w:headerReference w:type="even" r:id="rId8"/>
      <w:headerReference w:type="default" r:id="rId9"/>
      <w:footerReference w:type="even" r:id="rId10"/>
      <w:footerReference w:type="default" r:id="rId11"/>
      <w:headerReference w:type="first" r:id="rId12"/>
      <w:footerReference w:type="first" r:id="rId13"/>
      <w:pgSz w:w="12240" w:h="15840"/>
      <w:pgMar w:top="1800" w:right="1080" w:bottom="1710" w:left="108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57B5" w:rsidRDefault="002F57B5">
      <w:r>
        <w:separator/>
      </w:r>
    </w:p>
  </w:endnote>
  <w:endnote w:type="continuationSeparator" w:id="0">
    <w:p w:rsidR="002F57B5" w:rsidRDefault="002F57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MT">
    <w:altName w:val="Times New Roman"/>
    <w:charset w:val="00"/>
    <w:family w:val="auto"/>
    <w:pitch w:val="variable"/>
    <w:sig w:usb0="00000287" w:usb1="00000000" w:usb2="00000000" w:usb3="00000000" w:csb0="0000001F" w:csb1="00000000"/>
  </w:font>
  <w:font w:name="Times">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25F8" w:rsidRDefault="00C525F8">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Pr="006227FD" w:rsidRDefault="002F57B5" w:rsidP="002F57B5">
    <w:pPr>
      <w:framePr w:wrap="around" w:vAnchor="text" w:hAnchor="margin" w:xAlign="center" w:y="265"/>
      <w:rPr>
        <w:rStyle w:val="Paginanummer"/>
        <w:color w:val="535953"/>
        <w:sz w:val="16"/>
        <w:szCs w:val="16"/>
      </w:rPr>
    </w:pPr>
    <w:r w:rsidRPr="006227FD">
      <w:rPr>
        <w:rStyle w:val="Paginanummer"/>
        <w:color w:val="535953"/>
        <w:sz w:val="16"/>
        <w:szCs w:val="16"/>
      </w:rPr>
      <w:fldChar w:fldCharType="begin"/>
    </w:r>
    <w:r w:rsidRPr="006227FD">
      <w:rPr>
        <w:rStyle w:val="Paginanummer"/>
        <w:color w:val="535953"/>
        <w:sz w:val="16"/>
        <w:szCs w:val="16"/>
      </w:rPr>
      <w:instrText xml:space="preserve">PAGE  </w:instrText>
    </w:r>
    <w:r w:rsidRPr="006227FD">
      <w:rPr>
        <w:rStyle w:val="Paginanummer"/>
        <w:color w:val="535953"/>
        <w:sz w:val="16"/>
        <w:szCs w:val="16"/>
      </w:rPr>
      <w:fldChar w:fldCharType="separate"/>
    </w:r>
    <w:r w:rsidR="00BB13E2">
      <w:rPr>
        <w:rStyle w:val="Paginanummer"/>
        <w:noProof/>
        <w:color w:val="535953"/>
        <w:sz w:val="16"/>
        <w:szCs w:val="16"/>
      </w:rPr>
      <w:t>2</w:t>
    </w:r>
    <w:r w:rsidRPr="006227FD">
      <w:rPr>
        <w:rStyle w:val="Paginanummer"/>
        <w:color w:val="535953"/>
        <w:sz w:val="16"/>
        <w:szCs w:val="16"/>
      </w:rPr>
      <w:fldChar w:fldCharType="end"/>
    </w:r>
  </w:p>
  <w:p w:rsidR="002F57B5" w:rsidRDefault="002F57B5"/>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Pr="00893833" w:rsidRDefault="002F57B5" w:rsidP="002F57B5">
    <w:pPr>
      <w:framePr w:wrap="around" w:vAnchor="text" w:hAnchor="page" w:x="6071" w:y="277"/>
      <w:rPr>
        <w:rStyle w:val="Paginanummer"/>
        <w:color w:val="535953"/>
        <w:sz w:val="16"/>
        <w:szCs w:val="16"/>
      </w:rPr>
    </w:pPr>
    <w:r>
      <w:rPr>
        <w:rStyle w:val="Paginanummer"/>
        <w:lang w:val="nl-NL"/>
      </w:rPr>
      <w:t xml:space="preserve"> </w:t>
    </w:r>
    <w:r w:rsidRPr="00893833">
      <w:rPr>
        <w:rStyle w:val="Paginanummer"/>
        <w:color w:val="535953"/>
        <w:sz w:val="16"/>
        <w:szCs w:val="16"/>
      </w:rPr>
      <w:fldChar w:fldCharType="begin"/>
    </w:r>
    <w:r w:rsidRPr="00893833">
      <w:rPr>
        <w:rStyle w:val="Paginanummer"/>
        <w:color w:val="535953"/>
        <w:sz w:val="16"/>
        <w:szCs w:val="16"/>
      </w:rPr>
      <w:instrText xml:space="preserve">PAGE  </w:instrText>
    </w:r>
    <w:r w:rsidRPr="00893833">
      <w:rPr>
        <w:rStyle w:val="Paginanummer"/>
        <w:color w:val="535953"/>
        <w:sz w:val="16"/>
        <w:szCs w:val="16"/>
      </w:rPr>
      <w:fldChar w:fldCharType="separate"/>
    </w:r>
    <w:r w:rsidR="00BB13E2">
      <w:rPr>
        <w:rStyle w:val="Paginanummer"/>
        <w:noProof/>
        <w:color w:val="535953"/>
        <w:sz w:val="16"/>
        <w:szCs w:val="16"/>
      </w:rPr>
      <w:t>1</w:t>
    </w:r>
    <w:r w:rsidRPr="00893833">
      <w:rPr>
        <w:rStyle w:val="Paginanummer"/>
        <w:color w:val="535953"/>
        <w:sz w:val="16"/>
        <w:szCs w:val="16"/>
      </w:rPr>
      <w:fldChar w:fldCharType="end"/>
    </w:r>
  </w:p>
  <w:p w:rsidR="002F57B5" w:rsidRDefault="002F57B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57B5" w:rsidRDefault="002F57B5">
      <w:r>
        <w:separator/>
      </w:r>
    </w:p>
  </w:footnote>
  <w:footnote w:type="continuationSeparator" w:id="0">
    <w:p w:rsidR="002F57B5" w:rsidRDefault="002F57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2F57B5" w:rsidP="002F57B5">
    <w:pPr>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2F57B5" w:rsidRDefault="002F57B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2F57B5">
    <w:r>
      <w:rPr>
        <w:noProof/>
        <w:lang w:val="nl-NL" w:eastAsia="nl-NL"/>
      </w:rPr>
      <mc:AlternateContent>
        <mc:Choice Requires="wps">
          <w:drawing>
            <wp:anchor distT="0" distB="0" distL="114300" distR="114300" simplePos="0" relativeHeight="251659264" behindDoc="0" locked="0" layoutInCell="1" allowOverlap="1">
              <wp:simplePos x="0" y="0"/>
              <wp:positionH relativeFrom="margin">
                <wp:posOffset>228600</wp:posOffset>
              </wp:positionH>
              <wp:positionV relativeFrom="topMargin">
                <wp:posOffset>628650</wp:posOffset>
              </wp:positionV>
              <wp:extent cx="6343650" cy="533400"/>
              <wp:effectExtent l="0" t="0" r="0" b="0"/>
              <wp:wrapThrough wrapText="bothSides">
                <wp:wrapPolygon edited="0">
                  <wp:start x="130" y="0"/>
                  <wp:lineTo x="130" y="20829"/>
                  <wp:lineTo x="21405" y="20829"/>
                  <wp:lineTo x="21405" y="0"/>
                  <wp:lineTo x="130" y="0"/>
                </wp:wrapPolygon>
              </wp:wrapThrough>
              <wp:docPr id="3" name="Text Box 3"/>
              <wp:cNvGraphicFramePr/>
              <a:graphic xmlns:a="http://schemas.openxmlformats.org/drawingml/2006/main">
                <a:graphicData uri="http://schemas.microsoft.com/office/word/2010/wordprocessingShape">
                  <wps:wsp>
                    <wps:cNvSpPr txBox="1"/>
                    <wps:spPr>
                      <a:xfrm>
                        <a:off x="0" y="0"/>
                        <a:ext cx="6343650" cy="533400"/>
                      </a:xfrm>
                      <a:prstGeom prst="rect">
                        <a:avLst/>
                      </a:prstGeom>
                      <a:noFill/>
                      <a:ln>
                        <a:noFill/>
                      </a:ln>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rsidR="002F57B5" w:rsidRPr="006227FD" w:rsidRDefault="00AA0CBD">
                          <w:pPr>
                            <w:rPr>
                              <w:rFonts w:ascii="Arial" w:hAnsi="Arial" w:cs="Arial"/>
                              <w:color w:val="002239" w:themeColor="text2" w:themeShade="80"/>
                            </w:rPr>
                          </w:pPr>
                          <w:r>
                            <w:rPr>
                              <w:rFonts w:ascii="Arial" w:hAnsi="Arial" w:cs="Arial"/>
                              <w:color w:val="0F1F4B"/>
                              <w:lang w:val="nl-NL"/>
                            </w:rPr>
                            <w:t xml:space="preserve">Implementatierichtlijn </w:t>
                          </w:r>
                          <w:r w:rsidR="005B628D" w:rsidRPr="005B628D">
                            <w:rPr>
                              <w:rFonts w:ascii="Arial" w:hAnsi="Arial" w:cs="Arial"/>
                              <w:color w:val="0F1F4B"/>
                              <w:lang w:val="nl-NL"/>
                            </w:rPr>
                            <w:t xml:space="preserve">2030 </w:t>
                          </w:r>
                          <w:r w:rsidR="00C525F8">
                            <w:rPr>
                              <w:rFonts w:ascii="Arial" w:hAnsi="Arial" w:cs="Arial"/>
                              <w:color w:val="0F1F4B"/>
                              <w:lang w:val="nl-NL"/>
                            </w:rPr>
                            <w:t>-</w:t>
                          </w:r>
                          <w:r w:rsidR="005B628D" w:rsidRPr="005B628D">
                            <w:rPr>
                              <w:rFonts w:ascii="Arial" w:hAnsi="Arial" w:cs="Arial"/>
                              <w:color w:val="0F1F4B"/>
                              <w:lang w:val="nl-NL"/>
                            </w:rPr>
                            <w:t xml:space="preserve"> Beheer van middelen</w:t>
                          </w: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9" type="#_x0000_t202" style="position:absolute;margin-left:18pt;margin-top:49.5pt;width:499.5pt;height:4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" filled="f" stroked="f">
              <v:textbox>
                <w:txbxContent>
                  <w:p w:rsidR="002F57B5" w:rsidRPr="006227FD" w:rsidRDefault="00AA0CBD">
                    <w:pPr>
                      <w:rPr>
                        <w:rFonts w:ascii="Arial" w:hAnsi="Arial" w:cs="Arial"/>
                        <w:color w:val="002239" w:themeColor="text2" w:themeShade="80"/>
                      </w:rPr>
                    </w:pPr>
                    <w:r>
                      <w:rPr>
                        <w:rFonts w:ascii="Arial" w:hAnsi="Arial" w:cs="Arial"/>
                        <w:color w:val="0F1F4B"/>
                        <w:lang w:val="nl-NL"/>
                      </w:rPr>
                      <w:t xml:space="preserve">Implementatierichtlijn </w:t>
                    </w:r>
                    <w:r w:rsidR="005B628D" w:rsidRPr="005B628D">
                      <w:rPr>
                        <w:rFonts w:ascii="Arial" w:hAnsi="Arial" w:cs="Arial"/>
                        <w:color w:val="0F1F4B"/>
                        <w:lang w:val="nl-NL"/>
                      </w:rPr>
                      <w:t xml:space="preserve">2030 </w:t>
                    </w:r>
                    <w:r w:rsidR="00C525F8">
                      <w:rPr>
                        <w:rFonts w:ascii="Arial" w:hAnsi="Arial" w:cs="Arial"/>
                        <w:color w:val="0F1F4B"/>
                        <w:lang w:val="nl-NL"/>
                      </w:rPr>
                      <w:t>-</w:t>
                    </w:r>
                    <w:r w:rsidR="005B628D" w:rsidRPr="005B628D">
                      <w:rPr>
                        <w:rFonts w:ascii="Arial" w:hAnsi="Arial" w:cs="Arial"/>
                        <w:color w:val="0F1F4B"/>
                        <w:lang w:val="nl-NL"/>
                      </w:rPr>
                      <w:t xml:space="preserve"> Beheer van middelen</w:t>
                    </w:r>
                  </w:p>
                </w:txbxContent>
              </v:textbox>
              <w10:wrap type="through" anchorx="margin" anchory="margin"/>
            </v:shape>
          </w:pict>
        </mc:Fallback>
      </mc:AlternateContent>
    </w:r>
    <w:r>
      <w:rPr>
        <w:noProof/>
        <w:lang w:val="nl-NL" w:eastAsia="nl-NL"/>
      </w:rPr>
      <w:drawing>
        <wp:anchor distT="0" distB="0" distL="114300" distR="114300" simplePos="0" relativeHeight="251658240" behindDoc="1" locked="0" layoutInCell="1" allowOverlap="1">
          <wp:simplePos x="0" y="0"/>
          <wp:positionH relativeFrom="page">
            <wp:align>right</wp:align>
          </wp:positionH>
          <wp:positionV relativeFrom="page">
            <wp:align>top</wp:align>
          </wp:positionV>
          <wp:extent cx="7772400" cy="10061448"/>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sterPage copy.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61448"/>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2F57B5">
    <w:r>
      <w:rPr>
        <w:noProof/>
        <w:lang w:val="nl-NL" w:eastAsia="nl-NL"/>
      </w:rPr>
      <w:drawing>
        <wp:anchor distT="0" distB="0" distL="114300" distR="114300" simplePos="0" relativeHeight="251661312" behindDoc="1" locked="0" layoutInCell="1" allowOverlap="1">
          <wp:simplePos x="0" y="0"/>
          <wp:positionH relativeFrom="page">
            <wp:align>right</wp:align>
          </wp:positionH>
          <wp:positionV relativeFrom="page">
            <wp:align>top</wp:align>
          </wp:positionV>
          <wp:extent cx="7772400" cy="10061448"/>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Page.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61448"/>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4A6306"/>
    <w:multiLevelType w:val="hybridMultilevel"/>
    <w:tmpl w:val="36D85A0C"/>
    <w:lvl w:ilvl="0" w:tplc="8526990C">
      <w:start w:val="1"/>
      <w:numFmt w:val="bullet"/>
      <w:lvlText w:val=""/>
      <w:lvlJc w:val="left"/>
      <w:pPr>
        <w:ind w:left="990" w:hanging="360"/>
      </w:pPr>
      <w:rPr>
        <w:rFonts w:ascii="Symbol" w:hAnsi="Symbol" w:hint="default"/>
        <w:color w:val="D32E30" w:themeColor="accent2"/>
      </w:rPr>
    </w:lvl>
    <w:lvl w:ilvl="1" w:tplc="D9E6D0E4" w:tentative="1">
      <w:start w:val="1"/>
      <w:numFmt w:val="bullet"/>
      <w:lvlText w:val="o"/>
      <w:lvlJc w:val="left"/>
      <w:pPr>
        <w:ind w:left="1710" w:hanging="360"/>
      </w:pPr>
      <w:rPr>
        <w:rFonts w:ascii="Courier New" w:hAnsi="Courier New" w:hint="default"/>
      </w:rPr>
    </w:lvl>
    <w:lvl w:ilvl="2" w:tplc="6CBA750C" w:tentative="1">
      <w:start w:val="1"/>
      <w:numFmt w:val="bullet"/>
      <w:lvlText w:val=""/>
      <w:lvlJc w:val="left"/>
      <w:pPr>
        <w:ind w:left="2430" w:hanging="360"/>
      </w:pPr>
      <w:rPr>
        <w:rFonts w:ascii="Wingdings" w:hAnsi="Wingdings" w:hint="default"/>
      </w:rPr>
    </w:lvl>
    <w:lvl w:ilvl="3" w:tplc="CBF89618" w:tentative="1">
      <w:start w:val="1"/>
      <w:numFmt w:val="bullet"/>
      <w:lvlText w:val=""/>
      <w:lvlJc w:val="left"/>
      <w:pPr>
        <w:ind w:left="3150" w:hanging="360"/>
      </w:pPr>
      <w:rPr>
        <w:rFonts w:ascii="Symbol" w:hAnsi="Symbol" w:hint="default"/>
      </w:rPr>
    </w:lvl>
    <w:lvl w:ilvl="4" w:tplc="97AABB4C" w:tentative="1">
      <w:start w:val="1"/>
      <w:numFmt w:val="bullet"/>
      <w:lvlText w:val="o"/>
      <w:lvlJc w:val="left"/>
      <w:pPr>
        <w:ind w:left="3870" w:hanging="360"/>
      </w:pPr>
      <w:rPr>
        <w:rFonts w:ascii="Courier New" w:hAnsi="Courier New" w:hint="default"/>
      </w:rPr>
    </w:lvl>
    <w:lvl w:ilvl="5" w:tplc="E7AEB53A" w:tentative="1">
      <w:start w:val="1"/>
      <w:numFmt w:val="bullet"/>
      <w:lvlText w:val=""/>
      <w:lvlJc w:val="left"/>
      <w:pPr>
        <w:ind w:left="4590" w:hanging="360"/>
      </w:pPr>
      <w:rPr>
        <w:rFonts w:ascii="Wingdings" w:hAnsi="Wingdings" w:hint="default"/>
      </w:rPr>
    </w:lvl>
    <w:lvl w:ilvl="6" w:tplc="F5F09510" w:tentative="1">
      <w:start w:val="1"/>
      <w:numFmt w:val="bullet"/>
      <w:lvlText w:val=""/>
      <w:lvlJc w:val="left"/>
      <w:pPr>
        <w:ind w:left="5310" w:hanging="360"/>
      </w:pPr>
      <w:rPr>
        <w:rFonts w:ascii="Symbol" w:hAnsi="Symbol" w:hint="default"/>
      </w:rPr>
    </w:lvl>
    <w:lvl w:ilvl="7" w:tplc="0922AAD6" w:tentative="1">
      <w:start w:val="1"/>
      <w:numFmt w:val="bullet"/>
      <w:lvlText w:val="o"/>
      <w:lvlJc w:val="left"/>
      <w:pPr>
        <w:ind w:left="6030" w:hanging="360"/>
      </w:pPr>
      <w:rPr>
        <w:rFonts w:ascii="Courier New" w:hAnsi="Courier New" w:hint="default"/>
      </w:rPr>
    </w:lvl>
    <w:lvl w:ilvl="8" w:tplc="6BC4CB10" w:tentative="1">
      <w:start w:val="1"/>
      <w:numFmt w:val="bullet"/>
      <w:lvlText w:val=""/>
      <w:lvlJc w:val="left"/>
      <w:pPr>
        <w:ind w:left="6750" w:hanging="360"/>
      </w:pPr>
      <w:rPr>
        <w:rFonts w:ascii="Wingdings" w:hAnsi="Wingdings" w:hint="default"/>
      </w:rPr>
    </w:lvl>
  </w:abstractNum>
  <w:abstractNum w:abstractNumId="1" w15:restartNumberingAfterBreak="0">
    <w:nsid w:val="25F42B3A"/>
    <w:multiLevelType w:val="hybridMultilevel"/>
    <w:tmpl w:val="E31EAF06"/>
    <w:lvl w:ilvl="0" w:tplc="055298DA">
      <w:start w:val="1"/>
      <w:numFmt w:val="bullet"/>
      <w:pStyle w:val="RedBullets"/>
      <w:lvlText w:val=""/>
      <w:lvlJc w:val="left"/>
      <w:pPr>
        <w:ind w:left="994" w:hanging="360"/>
      </w:pPr>
      <w:rPr>
        <w:rFonts w:ascii="Symbol" w:hAnsi="Symbol" w:hint="default"/>
        <w:color w:val="D32E30" w:themeColor="accent2"/>
      </w:rPr>
    </w:lvl>
    <w:lvl w:ilvl="1" w:tplc="621E7BA2">
      <w:start w:val="1"/>
      <w:numFmt w:val="bullet"/>
      <w:lvlText w:val="o"/>
      <w:lvlJc w:val="left"/>
      <w:pPr>
        <w:ind w:left="1714" w:hanging="360"/>
      </w:pPr>
      <w:rPr>
        <w:rFonts w:ascii="Courier New" w:hAnsi="Courier New" w:hint="default"/>
      </w:rPr>
    </w:lvl>
    <w:lvl w:ilvl="2" w:tplc="7E22767C" w:tentative="1">
      <w:start w:val="1"/>
      <w:numFmt w:val="bullet"/>
      <w:lvlText w:val=""/>
      <w:lvlJc w:val="left"/>
      <w:pPr>
        <w:ind w:left="2434" w:hanging="360"/>
      </w:pPr>
      <w:rPr>
        <w:rFonts w:ascii="Wingdings" w:hAnsi="Wingdings" w:hint="default"/>
      </w:rPr>
    </w:lvl>
    <w:lvl w:ilvl="3" w:tplc="EF2CF742" w:tentative="1">
      <w:start w:val="1"/>
      <w:numFmt w:val="bullet"/>
      <w:lvlText w:val=""/>
      <w:lvlJc w:val="left"/>
      <w:pPr>
        <w:ind w:left="3154" w:hanging="360"/>
      </w:pPr>
      <w:rPr>
        <w:rFonts w:ascii="Symbol" w:hAnsi="Symbol" w:hint="default"/>
      </w:rPr>
    </w:lvl>
    <w:lvl w:ilvl="4" w:tplc="4E28C6E8" w:tentative="1">
      <w:start w:val="1"/>
      <w:numFmt w:val="bullet"/>
      <w:lvlText w:val="o"/>
      <w:lvlJc w:val="left"/>
      <w:pPr>
        <w:ind w:left="3874" w:hanging="360"/>
      </w:pPr>
      <w:rPr>
        <w:rFonts w:ascii="Courier New" w:hAnsi="Courier New" w:hint="default"/>
      </w:rPr>
    </w:lvl>
    <w:lvl w:ilvl="5" w:tplc="5DE48358" w:tentative="1">
      <w:start w:val="1"/>
      <w:numFmt w:val="bullet"/>
      <w:lvlText w:val=""/>
      <w:lvlJc w:val="left"/>
      <w:pPr>
        <w:ind w:left="4594" w:hanging="360"/>
      </w:pPr>
      <w:rPr>
        <w:rFonts w:ascii="Wingdings" w:hAnsi="Wingdings" w:hint="default"/>
      </w:rPr>
    </w:lvl>
    <w:lvl w:ilvl="6" w:tplc="38FA1802" w:tentative="1">
      <w:start w:val="1"/>
      <w:numFmt w:val="bullet"/>
      <w:lvlText w:val=""/>
      <w:lvlJc w:val="left"/>
      <w:pPr>
        <w:ind w:left="5314" w:hanging="360"/>
      </w:pPr>
      <w:rPr>
        <w:rFonts w:ascii="Symbol" w:hAnsi="Symbol" w:hint="default"/>
      </w:rPr>
    </w:lvl>
    <w:lvl w:ilvl="7" w:tplc="7E0E749E" w:tentative="1">
      <w:start w:val="1"/>
      <w:numFmt w:val="bullet"/>
      <w:lvlText w:val="o"/>
      <w:lvlJc w:val="left"/>
      <w:pPr>
        <w:ind w:left="6034" w:hanging="360"/>
      </w:pPr>
      <w:rPr>
        <w:rFonts w:ascii="Courier New" w:hAnsi="Courier New" w:hint="default"/>
      </w:rPr>
    </w:lvl>
    <w:lvl w:ilvl="8" w:tplc="39783008" w:tentative="1">
      <w:start w:val="1"/>
      <w:numFmt w:val="bullet"/>
      <w:lvlText w:val=""/>
      <w:lvlJc w:val="left"/>
      <w:pPr>
        <w:ind w:left="6754" w:hanging="360"/>
      </w:pPr>
      <w:rPr>
        <w:rFonts w:ascii="Wingdings" w:hAnsi="Wingdings" w:hint="default"/>
      </w:rPr>
    </w:lvl>
  </w:abstractNum>
  <w:abstractNum w:abstractNumId="2" w15:restartNumberingAfterBreak="0">
    <w:nsid w:val="327E59D3"/>
    <w:multiLevelType w:val="hybridMultilevel"/>
    <w:tmpl w:val="97D2F3F4"/>
    <w:lvl w:ilvl="0" w:tplc="6C72D0A4">
      <w:start w:val="1"/>
      <w:numFmt w:val="bullet"/>
      <w:lvlText w:val=""/>
      <w:lvlJc w:val="left"/>
      <w:pPr>
        <w:ind w:left="720" w:hanging="360"/>
      </w:pPr>
      <w:rPr>
        <w:rFonts w:ascii="Symbol" w:hAnsi="Symbol" w:hint="default"/>
        <w:color w:val="D32E30" w:themeColor="accent2"/>
      </w:rPr>
    </w:lvl>
    <w:lvl w:ilvl="1" w:tplc="D6ECB022" w:tentative="1">
      <w:start w:val="1"/>
      <w:numFmt w:val="bullet"/>
      <w:lvlText w:val="o"/>
      <w:lvlJc w:val="left"/>
      <w:pPr>
        <w:ind w:left="1170" w:hanging="360"/>
      </w:pPr>
      <w:rPr>
        <w:rFonts w:ascii="Courier New" w:hAnsi="Courier New" w:hint="default"/>
      </w:rPr>
    </w:lvl>
    <w:lvl w:ilvl="2" w:tplc="AC966F80" w:tentative="1">
      <w:start w:val="1"/>
      <w:numFmt w:val="bullet"/>
      <w:lvlText w:val=""/>
      <w:lvlJc w:val="left"/>
      <w:pPr>
        <w:ind w:left="1890" w:hanging="360"/>
      </w:pPr>
      <w:rPr>
        <w:rFonts w:ascii="Wingdings" w:hAnsi="Wingdings" w:hint="default"/>
      </w:rPr>
    </w:lvl>
    <w:lvl w:ilvl="3" w:tplc="F1446828" w:tentative="1">
      <w:start w:val="1"/>
      <w:numFmt w:val="bullet"/>
      <w:lvlText w:val=""/>
      <w:lvlJc w:val="left"/>
      <w:pPr>
        <w:ind w:left="2610" w:hanging="360"/>
      </w:pPr>
      <w:rPr>
        <w:rFonts w:ascii="Symbol" w:hAnsi="Symbol" w:hint="default"/>
      </w:rPr>
    </w:lvl>
    <w:lvl w:ilvl="4" w:tplc="56B25782" w:tentative="1">
      <w:start w:val="1"/>
      <w:numFmt w:val="bullet"/>
      <w:lvlText w:val="o"/>
      <w:lvlJc w:val="left"/>
      <w:pPr>
        <w:ind w:left="3330" w:hanging="360"/>
      </w:pPr>
      <w:rPr>
        <w:rFonts w:ascii="Courier New" w:hAnsi="Courier New" w:hint="default"/>
      </w:rPr>
    </w:lvl>
    <w:lvl w:ilvl="5" w:tplc="7AEC16F8" w:tentative="1">
      <w:start w:val="1"/>
      <w:numFmt w:val="bullet"/>
      <w:lvlText w:val=""/>
      <w:lvlJc w:val="left"/>
      <w:pPr>
        <w:ind w:left="4050" w:hanging="360"/>
      </w:pPr>
      <w:rPr>
        <w:rFonts w:ascii="Wingdings" w:hAnsi="Wingdings" w:hint="default"/>
      </w:rPr>
    </w:lvl>
    <w:lvl w:ilvl="6" w:tplc="A4E2FD96" w:tentative="1">
      <w:start w:val="1"/>
      <w:numFmt w:val="bullet"/>
      <w:lvlText w:val=""/>
      <w:lvlJc w:val="left"/>
      <w:pPr>
        <w:ind w:left="4770" w:hanging="360"/>
      </w:pPr>
      <w:rPr>
        <w:rFonts w:ascii="Symbol" w:hAnsi="Symbol" w:hint="default"/>
      </w:rPr>
    </w:lvl>
    <w:lvl w:ilvl="7" w:tplc="2A50A19E" w:tentative="1">
      <w:start w:val="1"/>
      <w:numFmt w:val="bullet"/>
      <w:lvlText w:val="o"/>
      <w:lvlJc w:val="left"/>
      <w:pPr>
        <w:ind w:left="5490" w:hanging="360"/>
      </w:pPr>
      <w:rPr>
        <w:rFonts w:ascii="Courier New" w:hAnsi="Courier New" w:hint="default"/>
      </w:rPr>
    </w:lvl>
    <w:lvl w:ilvl="8" w:tplc="AF32A1B8" w:tentative="1">
      <w:start w:val="1"/>
      <w:numFmt w:val="bullet"/>
      <w:lvlText w:val=""/>
      <w:lvlJc w:val="left"/>
      <w:pPr>
        <w:ind w:left="621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OpenInPublishingView" w:val="0"/>
    <w:docVar w:name="ShowStaticGuides" w:val="1"/>
  </w:docVars>
  <w:rsids>
    <w:rsidRoot w:val="00685768"/>
    <w:rsid w:val="000C60D4"/>
    <w:rsid w:val="001B11A8"/>
    <w:rsid w:val="001E5BA3"/>
    <w:rsid w:val="00284E07"/>
    <w:rsid w:val="002C0B84"/>
    <w:rsid w:val="002F57B5"/>
    <w:rsid w:val="00443735"/>
    <w:rsid w:val="005A0CAD"/>
    <w:rsid w:val="005B628D"/>
    <w:rsid w:val="005C501B"/>
    <w:rsid w:val="00665553"/>
    <w:rsid w:val="00685768"/>
    <w:rsid w:val="0081412E"/>
    <w:rsid w:val="008F2569"/>
    <w:rsid w:val="00922258"/>
    <w:rsid w:val="0096042C"/>
    <w:rsid w:val="0097657B"/>
    <w:rsid w:val="00A96503"/>
    <w:rsid w:val="00AA0CBD"/>
    <w:rsid w:val="00BB13E2"/>
    <w:rsid w:val="00BC3D33"/>
    <w:rsid w:val="00C525F8"/>
    <w:rsid w:val="00C6368B"/>
    <w:rsid w:val="00DA2E66"/>
    <w:rsid w:val="00DF51BE"/>
    <w:rsid w:val="00E90A08"/>
    <w:rsid w:val="00FF046F"/>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1C9E951A-2DB5-4445-AEA3-CB4D3666D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10A1B"/>
  </w:style>
  <w:style w:type="paragraph" w:styleId="Kop1">
    <w:name w:val="heading 1"/>
    <w:basedOn w:val="Standaard"/>
    <w:next w:val="Standaard"/>
    <w:link w:val="Kop1Char"/>
    <w:uiPriority w:val="9"/>
    <w:qFormat/>
    <w:rsid w:val="006227FD"/>
    <w:pPr>
      <w:keepNext/>
      <w:keepLines/>
      <w:spacing w:before="480"/>
      <w:outlineLvl w:val="0"/>
    </w:pPr>
    <w:rPr>
      <w:rFonts w:asciiTheme="majorHAnsi" w:eastAsiaTheme="majorEastAsia" w:hAnsiTheme="majorHAnsi" w:cstheme="majorBidi"/>
      <w:b/>
      <w:bCs/>
      <w:color w:val="00658D" w:themeColor="accent1" w:themeShade="B5"/>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227FD"/>
    <w:rPr>
      <w:rFonts w:asciiTheme="majorHAnsi" w:eastAsiaTheme="majorEastAsia" w:hAnsiTheme="majorHAnsi" w:cstheme="majorBidi"/>
      <w:b/>
      <w:bCs/>
      <w:color w:val="00658D" w:themeColor="accent1" w:themeShade="B5"/>
      <w:sz w:val="32"/>
      <w:szCs w:val="32"/>
    </w:rPr>
  </w:style>
  <w:style w:type="character" w:styleId="Paginanummer">
    <w:name w:val="page number"/>
    <w:basedOn w:val="Standaardalinea-lettertype"/>
    <w:uiPriority w:val="99"/>
    <w:semiHidden/>
    <w:unhideWhenUsed/>
    <w:rsid w:val="006227FD"/>
  </w:style>
  <w:style w:type="paragraph" w:customStyle="1" w:styleId="TemplateHeadline">
    <w:name w:val="Template Headline"/>
    <w:basedOn w:val="Plattetekst"/>
    <w:uiPriority w:val="99"/>
    <w:rsid w:val="00893833"/>
    <w:pPr>
      <w:widowControl w:val="0"/>
      <w:autoSpaceDE w:val="0"/>
      <w:autoSpaceDN w:val="0"/>
      <w:adjustRightInd w:val="0"/>
      <w:spacing w:after="180" w:line="360" w:lineRule="atLeast"/>
      <w:textAlignment w:val="center"/>
    </w:pPr>
    <w:rPr>
      <w:rFonts w:ascii="ArialMT" w:hAnsi="ArialMT" w:cs="ArialMT"/>
      <w:color w:val="000065"/>
      <w:sz w:val="36"/>
      <w:szCs w:val="36"/>
    </w:rPr>
  </w:style>
  <w:style w:type="paragraph" w:styleId="Plattetekst">
    <w:name w:val="Body Text"/>
    <w:basedOn w:val="Standaard"/>
    <w:link w:val="PlattetekstChar"/>
    <w:uiPriority w:val="99"/>
    <w:semiHidden/>
    <w:unhideWhenUsed/>
    <w:rsid w:val="00893833"/>
    <w:pPr>
      <w:spacing w:after="120"/>
    </w:pPr>
  </w:style>
  <w:style w:type="character" w:customStyle="1" w:styleId="PlattetekstChar">
    <w:name w:val="Platte tekst Char"/>
    <w:basedOn w:val="Standaardalinea-lettertype"/>
    <w:link w:val="Plattetekst"/>
    <w:uiPriority w:val="99"/>
    <w:semiHidden/>
    <w:rsid w:val="00893833"/>
  </w:style>
  <w:style w:type="paragraph" w:customStyle="1" w:styleId="TemplateBodyText">
    <w:name w:val="Template Body Text"/>
    <w:basedOn w:val="Plattetekst"/>
    <w:link w:val="TemplateBodyTextChar"/>
    <w:uiPriority w:val="99"/>
    <w:rsid w:val="00893833"/>
    <w:pPr>
      <w:widowControl w:val="0"/>
      <w:suppressAutoHyphens/>
      <w:autoSpaceDE w:val="0"/>
      <w:autoSpaceDN w:val="0"/>
      <w:adjustRightInd w:val="0"/>
      <w:spacing w:after="180" w:line="400" w:lineRule="atLeast"/>
      <w:textAlignment w:val="center"/>
    </w:pPr>
    <w:rPr>
      <w:rFonts w:ascii="ArialMT" w:hAnsi="ArialMT" w:cs="ArialMT"/>
      <w:color w:val="000000"/>
    </w:rPr>
  </w:style>
  <w:style w:type="paragraph" w:customStyle="1" w:styleId="TemplateBullets">
    <w:name w:val="Template Bullets"/>
    <w:basedOn w:val="TemplateBodyText"/>
    <w:uiPriority w:val="99"/>
    <w:rsid w:val="00B01FFE"/>
    <w:pPr>
      <w:spacing w:after="0"/>
      <w:ind w:left="634" w:hanging="360"/>
    </w:pPr>
  </w:style>
  <w:style w:type="paragraph" w:customStyle="1" w:styleId="TemplateBullets-Sub">
    <w:name w:val="Template Bullets-Sub"/>
    <w:basedOn w:val="TemplateBodyText"/>
    <w:uiPriority w:val="99"/>
    <w:rsid w:val="00893833"/>
    <w:pPr>
      <w:spacing w:after="0"/>
      <w:ind w:left="990" w:hanging="360"/>
    </w:pPr>
  </w:style>
  <w:style w:type="paragraph" w:customStyle="1" w:styleId="RedBullets">
    <w:name w:val="Red Bullets"/>
    <w:basedOn w:val="TemplateBullets"/>
    <w:qFormat/>
    <w:rsid w:val="00B01FFE"/>
    <w:pPr>
      <w:numPr>
        <w:numId w:val="3"/>
      </w:numPr>
    </w:pPr>
  </w:style>
  <w:style w:type="paragraph" w:customStyle="1" w:styleId="Headline">
    <w:name w:val="Headline"/>
    <w:basedOn w:val="Standaard"/>
    <w:uiPriority w:val="99"/>
    <w:rsid w:val="00B01FFE"/>
    <w:pPr>
      <w:widowControl w:val="0"/>
      <w:autoSpaceDE w:val="0"/>
      <w:autoSpaceDN w:val="0"/>
      <w:adjustRightInd w:val="0"/>
      <w:spacing w:line="800" w:lineRule="atLeast"/>
      <w:textAlignment w:val="center"/>
    </w:pPr>
    <w:rPr>
      <w:rFonts w:ascii="ArialMT" w:hAnsi="ArialMT" w:cs="ArialMT"/>
      <w:color w:val="000065"/>
      <w:sz w:val="70"/>
      <w:szCs w:val="70"/>
    </w:rPr>
  </w:style>
  <w:style w:type="paragraph" w:styleId="Voettekst">
    <w:name w:val="footer"/>
    <w:basedOn w:val="Standaard"/>
    <w:link w:val="VoettekstChar"/>
    <w:uiPriority w:val="99"/>
    <w:unhideWhenUsed/>
    <w:rsid w:val="00112A54"/>
    <w:pPr>
      <w:tabs>
        <w:tab w:val="center" w:pos="4320"/>
        <w:tab w:val="right" w:pos="8640"/>
      </w:tabs>
    </w:pPr>
  </w:style>
  <w:style w:type="character" w:customStyle="1" w:styleId="VoettekstChar">
    <w:name w:val="Voettekst Char"/>
    <w:basedOn w:val="Standaardalinea-lettertype"/>
    <w:link w:val="Voettekst"/>
    <w:uiPriority w:val="99"/>
    <w:rsid w:val="00112A54"/>
  </w:style>
  <w:style w:type="paragraph" w:styleId="Normaalweb">
    <w:name w:val="Normal (Web)"/>
    <w:basedOn w:val="Standaard"/>
    <w:uiPriority w:val="99"/>
    <w:semiHidden/>
    <w:unhideWhenUsed/>
    <w:rsid w:val="00AF61BE"/>
    <w:pPr>
      <w:spacing w:before="100" w:beforeAutospacing="1" w:after="100" w:afterAutospacing="1"/>
    </w:pPr>
    <w:rPr>
      <w:rFonts w:ascii="Times" w:hAnsi="Times" w:cs="Times New Roman"/>
      <w:sz w:val="20"/>
      <w:szCs w:val="20"/>
    </w:rPr>
  </w:style>
  <w:style w:type="paragraph" w:customStyle="1" w:styleId="BoilerplateHeadline">
    <w:name w:val="Boilerplate Headline"/>
    <w:basedOn w:val="Standaard"/>
    <w:uiPriority w:val="99"/>
    <w:rsid w:val="00AF61BE"/>
    <w:pPr>
      <w:widowControl w:val="0"/>
      <w:autoSpaceDE w:val="0"/>
      <w:autoSpaceDN w:val="0"/>
      <w:adjustRightInd w:val="0"/>
      <w:spacing w:line="360" w:lineRule="atLeast"/>
      <w:textAlignment w:val="center"/>
    </w:pPr>
    <w:rPr>
      <w:rFonts w:ascii="ArialMT" w:hAnsi="ArialMT" w:cs="ArialMT"/>
      <w:color w:val="3B95D9"/>
      <w:sz w:val="30"/>
      <w:szCs w:val="30"/>
    </w:rPr>
  </w:style>
  <w:style w:type="paragraph" w:customStyle="1" w:styleId="BoilerplateBodyText">
    <w:name w:val="Boilerplate Body Text"/>
    <w:basedOn w:val="Standaard"/>
    <w:uiPriority w:val="99"/>
    <w:rsid w:val="00AF61BE"/>
    <w:pPr>
      <w:widowControl w:val="0"/>
      <w:suppressAutoHyphens/>
      <w:autoSpaceDE w:val="0"/>
      <w:autoSpaceDN w:val="0"/>
      <w:adjustRightInd w:val="0"/>
      <w:spacing w:after="180" w:line="288" w:lineRule="auto"/>
      <w:textAlignment w:val="center"/>
    </w:pPr>
    <w:rPr>
      <w:rFonts w:ascii="ArialMT" w:hAnsi="ArialMT" w:cs="ArialMT"/>
      <w:color w:val="000000"/>
      <w:sz w:val="18"/>
      <w:szCs w:val="18"/>
    </w:rPr>
  </w:style>
  <w:style w:type="paragraph" w:styleId="Ballontekst">
    <w:name w:val="Balloon Text"/>
    <w:basedOn w:val="Standaard"/>
    <w:link w:val="BallontekstChar"/>
    <w:uiPriority w:val="99"/>
    <w:semiHidden/>
    <w:unhideWhenUsed/>
    <w:rsid w:val="00FB2F16"/>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B2F16"/>
    <w:rPr>
      <w:rFonts w:ascii="Segoe UI" w:hAnsi="Segoe UI" w:cs="Segoe UI"/>
      <w:sz w:val="18"/>
      <w:szCs w:val="18"/>
    </w:rPr>
  </w:style>
  <w:style w:type="character" w:styleId="Verwijzingopmerking">
    <w:name w:val="annotation reference"/>
    <w:basedOn w:val="Standaardalinea-lettertype"/>
    <w:uiPriority w:val="99"/>
    <w:semiHidden/>
    <w:unhideWhenUsed/>
    <w:rsid w:val="004350A2"/>
    <w:rPr>
      <w:sz w:val="16"/>
      <w:szCs w:val="16"/>
    </w:rPr>
  </w:style>
  <w:style w:type="paragraph" w:styleId="Tekstopmerking">
    <w:name w:val="annotation text"/>
    <w:basedOn w:val="Standaard"/>
    <w:link w:val="TekstopmerkingChar"/>
    <w:uiPriority w:val="99"/>
    <w:semiHidden/>
    <w:unhideWhenUsed/>
    <w:rsid w:val="004350A2"/>
    <w:rPr>
      <w:sz w:val="20"/>
      <w:szCs w:val="20"/>
    </w:rPr>
  </w:style>
  <w:style w:type="character" w:customStyle="1" w:styleId="TekstopmerkingChar">
    <w:name w:val="Tekst opmerking Char"/>
    <w:basedOn w:val="Standaardalinea-lettertype"/>
    <w:link w:val="Tekstopmerking"/>
    <w:uiPriority w:val="99"/>
    <w:semiHidden/>
    <w:rsid w:val="004350A2"/>
    <w:rPr>
      <w:sz w:val="20"/>
      <w:szCs w:val="20"/>
    </w:rPr>
  </w:style>
  <w:style w:type="paragraph" w:styleId="Onderwerpvanopmerking">
    <w:name w:val="annotation subject"/>
    <w:basedOn w:val="Tekstopmerking"/>
    <w:next w:val="Tekstopmerking"/>
    <w:link w:val="OnderwerpvanopmerkingChar"/>
    <w:uiPriority w:val="99"/>
    <w:semiHidden/>
    <w:unhideWhenUsed/>
    <w:rsid w:val="004350A2"/>
    <w:rPr>
      <w:b/>
      <w:bCs/>
    </w:rPr>
  </w:style>
  <w:style w:type="character" w:customStyle="1" w:styleId="OnderwerpvanopmerkingChar">
    <w:name w:val="Onderwerp van opmerking Char"/>
    <w:basedOn w:val="TekstopmerkingChar"/>
    <w:link w:val="Onderwerpvanopmerking"/>
    <w:uiPriority w:val="99"/>
    <w:semiHidden/>
    <w:rsid w:val="004350A2"/>
    <w:rPr>
      <w:b/>
      <w:bCs/>
      <w:sz w:val="20"/>
      <w:szCs w:val="20"/>
    </w:rPr>
  </w:style>
  <w:style w:type="paragraph" w:styleId="Geenafstand">
    <w:name w:val="No Spacing"/>
    <w:uiPriority w:val="1"/>
    <w:qFormat/>
    <w:rsid w:val="00FF046F"/>
  </w:style>
  <w:style w:type="character" w:customStyle="1" w:styleId="TemplateBodyTextChar">
    <w:name w:val="Template Body Text Char"/>
    <w:basedOn w:val="PlattetekstChar"/>
    <w:link w:val="TemplateBodyText"/>
    <w:uiPriority w:val="99"/>
    <w:rsid w:val="00E90A08"/>
    <w:rPr>
      <w:rFonts w:ascii="ArialMT" w:hAnsi="ArialMT" w:cs="ArialMT"/>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IIA 2013 PPT">
  <a:themeElements>
    <a:clrScheme name="Custom 1">
      <a:dk1>
        <a:srgbClr val="061D38"/>
      </a:dk1>
      <a:lt1>
        <a:sysClr val="window" lastClr="FFFFFF"/>
      </a:lt1>
      <a:dk2>
        <a:srgbClr val="004572"/>
      </a:dk2>
      <a:lt2>
        <a:srgbClr val="FFFFFE"/>
      </a:lt2>
      <a:accent1>
        <a:srgbClr val="008FC7"/>
      </a:accent1>
      <a:accent2>
        <a:srgbClr val="D32E30"/>
      </a:accent2>
      <a:accent3>
        <a:srgbClr val="4C4C4C"/>
      </a:accent3>
      <a:accent4>
        <a:srgbClr val="CECBC2"/>
      </a:accent4>
      <a:accent5>
        <a:srgbClr val="A7A8A7"/>
      </a:accent5>
      <a:accent6>
        <a:srgbClr val="DF6626"/>
      </a:accent6>
      <a:hlink>
        <a:srgbClr val="008FC7"/>
      </a:hlink>
      <a:folHlink>
        <a:srgbClr val="38123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BA9F7BB32F2294F9D78893CD8E3280E" ma:contentTypeVersion="15" ma:contentTypeDescription="Een nieuw document maken." ma:contentTypeScope="" ma:versionID="f679380a8e4e886ecc5d957d2e1fe2ba">
  <xsd:schema xmlns:xsd="http://www.w3.org/2001/XMLSchema" xmlns:xs="http://www.w3.org/2001/XMLSchema" xmlns:p="http://schemas.microsoft.com/office/2006/metadata/properties" xmlns:ns2="0c3fcb60-73aa-4fba-936c-f4e4949477d8" xmlns:ns3="4954079c-738c-4385-842a-9c050cf63c06" targetNamespace="http://schemas.microsoft.com/office/2006/metadata/properties" ma:root="true" ma:fieldsID="106845997257846790f80a0afdb0d6c2" ns2:_="" ns3:_="">
    <xsd:import namespace="0c3fcb60-73aa-4fba-936c-f4e4949477d8"/>
    <xsd:import namespace="4954079c-738c-4385-842a-9c050cf63c0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3fcb60-73aa-4fba-936c-f4e4949477d8"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e8d94e95-c22f-4490-ac5b-50eb1da410da}" ma:internalName="TaxCatchAll" ma:showField="CatchAllData" ma:web="0c3fcb60-73aa-4fba-936c-f4e4949477d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954079c-738c-4385-842a-9c050cf63c0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5eb6d24d-4a21-4ef1-8551-673e5fb1a20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c3fcb60-73aa-4fba-936c-f4e4949477d8" xsi:nil="true"/>
    <lcf76f155ced4ddcb4097134ff3c332f xmlns="4954079c-738c-4385-842a-9c050cf63c0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6E0C2CF-DF26-4F4F-B8BD-6FB3ADF3283E}">
  <ds:schemaRefs>
    <ds:schemaRef ds:uri="http://schemas.openxmlformats.org/officeDocument/2006/bibliography"/>
  </ds:schemaRefs>
</ds:datastoreItem>
</file>

<file path=customXml/itemProps2.xml><?xml version="1.0" encoding="utf-8"?>
<ds:datastoreItem xmlns:ds="http://schemas.openxmlformats.org/officeDocument/2006/customXml" ds:itemID="{C4BBDF8F-806D-4122-B08A-5E2C320A8FBA}"/>
</file>

<file path=customXml/itemProps3.xml><?xml version="1.0" encoding="utf-8"?>
<ds:datastoreItem xmlns:ds="http://schemas.openxmlformats.org/officeDocument/2006/customXml" ds:itemID="{5F13CC60-1D7E-46FF-B963-42EBAC98C2E4}"/>
</file>

<file path=customXml/itemProps4.xml><?xml version="1.0" encoding="utf-8"?>
<ds:datastoreItem xmlns:ds="http://schemas.openxmlformats.org/officeDocument/2006/customXml" ds:itemID="{219AC315-2B6D-4C0D-94BA-031DA37B1722}"/>
</file>

<file path=docProps/app.xml><?xml version="1.0" encoding="utf-8"?>
<Properties xmlns="http://schemas.openxmlformats.org/officeDocument/2006/extended-properties" xmlns:vt="http://schemas.openxmlformats.org/officeDocument/2006/docPropsVTypes">
  <Template>10041221</Template>
  <TotalTime>4</TotalTime>
  <Pages>4</Pages>
  <Words>640</Words>
  <Characters>3523</Characters>
  <Application>Microsoft Office Word</Application>
  <DocSecurity>0</DocSecurity>
  <Lines>29</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The IIA</Company>
  <LinksUpToDate>false</LinksUpToDate>
  <CharactersWithSpaces>4155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Citro</dc:creator>
  <cp:lastModifiedBy>Linda Poort</cp:lastModifiedBy>
  <cp:revision>7</cp:revision>
  <dcterms:created xsi:type="dcterms:W3CDTF">2017-08-18T13:17:00Z</dcterms:created>
  <dcterms:modified xsi:type="dcterms:W3CDTF">2017-08-21T13:37:00Z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0x0101009BA9F7BB32F2294F9D78893CD8E3280E</vt:lpwstr>
  </property>
</Properties>
</file>