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33" w:rsidRPr="003444F9" w:rsidRDefault="009E0001" w:rsidP="003444F9">
      <w:pPr>
        <w:pStyle w:val="TemplateHeadline"/>
      </w:pPr>
      <w:r w:rsidRPr="003444F9">
        <w:rPr>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posOffset>0</wp:posOffset>
                </wp:positionH>
                <wp:positionV relativeFrom="paragraph">
                  <wp:posOffset>1543050</wp:posOffset>
                </wp:positionV>
                <wp:extent cx="6400800" cy="36766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3676650"/>
                        </a:xfrm>
                        <a:prstGeom prst="rect">
                          <a:avLst/>
                        </a:prstGeom>
                        <a:solidFill>
                          <a:schemeClr val="bg1">
                            <a:lumMod val="85000"/>
                          </a:schemeClr>
                        </a:solidFill>
                        <a:ln>
                          <a:noFill/>
                        </a:ln>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A359AE" w:rsidRDefault="009E0001" w:rsidP="003444F9">
                            <w:pPr>
                              <w:pStyle w:val="IGStandardheading"/>
                            </w:pPr>
                            <w:bookmarkStart w:id="0" w:name="_GoBack"/>
                            <w:bookmarkEnd w:id="0"/>
                            <w:r w:rsidRPr="00A359AE">
                              <w:rPr>
                                <w:lang w:val="nl-NL"/>
                              </w:rPr>
                              <w:t xml:space="preserve">Standaard 2600 </w:t>
                            </w:r>
                            <w:r w:rsidR="00B5474D">
                              <w:rPr>
                                <w:lang w:val="nl-NL"/>
                              </w:rPr>
                              <w:t>–</w:t>
                            </w:r>
                            <w:r w:rsidR="00CF1688">
                              <w:rPr>
                                <w:lang w:val="nl-NL"/>
                              </w:rPr>
                              <w:t xml:space="preserve"> </w:t>
                            </w:r>
                            <w:r w:rsidR="00B5474D">
                              <w:rPr>
                                <w:lang w:val="nl-NL"/>
                              </w:rPr>
                              <w:t>C</w:t>
                            </w:r>
                            <w:r w:rsidRPr="00A359AE">
                              <w:rPr>
                                <w:lang w:val="nl-NL"/>
                              </w:rPr>
                              <w:t>ommunicatie van de risicoacceptatie</w:t>
                            </w:r>
                          </w:p>
                          <w:p w:rsidR="00A359AE" w:rsidRPr="00BE0CD8" w:rsidRDefault="009E0001" w:rsidP="003444F9">
                            <w:pPr>
                              <w:pStyle w:val="IGStandardbody"/>
                              <w:rPr>
                                <w:sz w:val="22"/>
                                <w:szCs w:val="22"/>
                              </w:rPr>
                            </w:pPr>
                            <w:r w:rsidRPr="00BE0CD8">
                              <w:rPr>
                                <w:sz w:val="22"/>
                                <w:szCs w:val="22"/>
                                <w:lang w:val="nl-NL"/>
                              </w:rPr>
                              <w:t xml:space="preserve">Wanneer het hoofd van de internal auditfunctie meent dat het management een risiconiveau heeft aanvaard dat ontoelaatbaar zou kunnen zijn voor de organisatie, moet het hoofd van de internal auditfunctie dit met het senior management bespreken. Als het hoofd van de internal auditfunctie vaststelt dat deze kwestie niet is opgelost, moet het hoofd van de internal auditfunctie deze kwestie communiceren aan het bestuur. </w:t>
                            </w:r>
                          </w:p>
                          <w:p w:rsidR="00A25867" w:rsidRPr="00BE0CD8" w:rsidRDefault="009E0001" w:rsidP="003444F9">
                            <w:pPr>
                              <w:pStyle w:val="IGStandardbody"/>
                              <w:rPr>
                                <w:b/>
                                <w:bCs/>
                                <w:sz w:val="22"/>
                                <w:szCs w:val="22"/>
                              </w:rPr>
                            </w:pPr>
                            <w:r w:rsidRPr="00BE0CD8">
                              <w:rPr>
                                <w:b/>
                                <w:bCs/>
                                <w:sz w:val="22"/>
                                <w:szCs w:val="22"/>
                                <w:lang w:val="nl-NL"/>
                              </w:rPr>
                              <w:t>Interpretatie:</w:t>
                            </w:r>
                          </w:p>
                          <w:p w:rsidR="00B01FFE" w:rsidRPr="00BE0CD8" w:rsidRDefault="009E0001" w:rsidP="003444F9">
                            <w:pPr>
                              <w:pStyle w:val="IGStandardinterpretationbody"/>
                              <w:rPr>
                                <w:sz w:val="22"/>
                                <w:szCs w:val="22"/>
                              </w:rPr>
                            </w:pPr>
                            <w:r w:rsidRPr="00BE0CD8">
                              <w:rPr>
                                <w:iCs/>
                                <w:sz w:val="22"/>
                                <w:szCs w:val="22"/>
                                <w:lang w:val="nl-NL"/>
                              </w:rPr>
                              <w:t>De identificatie van een door het management aanvaard risico kan worden waargenomen op grond van een audit- of een adviesopdracht, het controleren van de voortgang van door het management genomen maatregelen als gevolg van eerdere opdrachten, of anderszins.</w:t>
                            </w:r>
                            <w:r w:rsidRPr="00BE0CD8">
                              <w:rPr>
                                <w:i w:val="0"/>
                                <w:sz w:val="22"/>
                                <w:szCs w:val="22"/>
                                <w:lang w:val="nl-NL"/>
                              </w:rPr>
                              <w:t xml:space="preserve"> </w:t>
                            </w:r>
                            <w:r w:rsidRPr="00BE0CD8">
                              <w:rPr>
                                <w:iCs/>
                                <w:sz w:val="22"/>
                                <w:szCs w:val="22"/>
                                <w:lang w:val="nl-NL"/>
                              </w:rPr>
                              <w:t>Het oplossen van het risico valt niet onder de verantwoordelijkheid van het hoofd van de internal auditfunctie.</w:t>
                            </w:r>
                          </w:p>
                          <w:p w:rsidR="00A73913" w:rsidRPr="00BE0CD8" w:rsidRDefault="009E0001" w:rsidP="00A73913">
                            <w:pPr>
                              <w:pStyle w:val="Kop2"/>
                              <w:shd w:val="clear" w:color="auto" w:fill="D9D9D9" w:themeFill="background1" w:themeFillShade="D9"/>
                              <w:spacing w:before="0" w:line="255" w:lineRule="atLeast"/>
                              <w:jc w:val="right"/>
                              <w:rPr>
                                <w:rFonts w:ascii="Arial" w:hAnsi="Arial" w:cs="Arial"/>
                                <w:color w:val="auto"/>
                                <w:sz w:val="22"/>
                                <w:szCs w:val="22"/>
                              </w:rPr>
                            </w:pPr>
                            <w:proofErr w:type="spellStart"/>
                            <w:r w:rsidRPr="00BE0CD8">
                              <w:rPr>
                                <w:rFonts w:ascii="Arial" w:hAnsi="Arial" w:cs="Arial"/>
                                <w:color w:val="auto"/>
                                <w:sz w:val="22"/>
                                <w:szCs w:val="22"/>
                                <w:lang w:val="nl-NL"/>
                              </w:rPr>
                              <w:t>Herziene</w:t>
                            </w:r>
                            <w:proofErr w:type="spellEnd"/>
                            <w:r w:rsidRPr="00BE0CD8">
                              <w:rPr>
                                <w:rFonts w:ascii="Arial" w:hAnsi="Arial" w:cs="Arial"/>
                                <w:color w:val="auto"/>
                                <w:sz w:val="22"/>
                                <w:szCs w:val="22"/>
                                <w:lang w:val="nl-NL"/>
                              </w:rPr>
                              <w:t xml:space="preserve"> </w:t>
                            </w:r>
                            <w:r w:rsidRPr="00BE0CD8">
                              <w:rPr>
                                <w:rFonts w:ascii="Arial" w:hAnsi="Arial" w:cs="Arial"/>
                                <w:i/>
                                <w:color w:val="auto"/>
                                <w:sz w:val="22"/>
                                <w:szCs w:val="22"/>
                                <w:lang w:val="nl-NL"/>
                              </w:rPr>
                              <w:t>Standaarden</w:t>
                            </w:r>
                            <w:r w:rsidRPr="00BE0CD8">
                              <w:rPr>
                                <w:rFonts w:ascii="Arial" w:hAnsi="Arial" w:cs="Arial"/>
                                <w:color w:val="auto"/>
                                <w:sz w:val="22"/>
                                <w:szCs w:val="22"/>
                                <w:lang w:val="nl-NL"/>
                              </w:rPr>
                              <w:t xml:space="preserve"> die per 1 januari 2017 van kracht zijn</w:t>
                            </w:r>
                          </w:p>
                          <w:p w:rsidR="00A73913" w:rsidRPr="00BE0CD8" w:rsidRDefault="00B5474D" w:rsidP="003444F9">
                            <w:pPr>
                              <w:pStyle w:val="IGStandardinterpretationbody"/>
                              <w:rPr>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21.5pt;width:7in;height:289.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Fu7Q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p9NsOk199cMnc6WN/cRkhxxRYA3N8zUluytjIRRQHVWcNyN5W1ct5/7hBoYtuEY7Aq1erWNvyrfd&#10;F1kPvDyNwP+A4+fLqXvUF0hcODwhHfKgPHAgEQjDyVxKvre/qrJMpsvTZbDMz7JgsmJJkFfRJLgs&#10;J2m8yLIqXma/hxl7MlqkWVJm6VkwLdM4mMRRHpRllATLqozKaFItziaX3gjyHZ2Grg1DuT1lHzlz&#10;oXDxlTXQPl/1N+pAKGXC+oYBmtd2Wg3k9h7Dg75P3i/Ve4zZaOE9S2GPxl0rpPZ9OvZjaFX9fQy5&#10;GfShTc/ydqTtV/1hPFeyfoTp1HLYbqNo1cIEXRFjb4mGdYapgxNlb+DTcLkvsDxQGG2k/vkW3+nD&#10;loEUoz2chwKbH1uiGUb8s4D9i/Mkz91B8a/TKM7SBCP9QrZ6IRPbbiFhNGM4iIp6Euy15SPZaNk9&#10;wDUrnWcQEUHBf4HtSC7scLjgGlJWll4Jrogi9krcKeqgXYndjtz3D0SrwyJZmKJrOR4TMnu1T4Ou&#10;sxSy3FrZtH7ZXJGHyh6KDxfIb8vhWroT9/zttZ5u+vwPAAAA//8DAFBLAwQUAAYACAAAACEAahyk&#10;ht8AAAAJAQAADwAAAGRycy9kb3ducmV2LnhtbEyPwU7DMBBE70j8g7VIXBC1SSuUptlUqBIXLrSF&#10;qlc3NklEvI5iJw18PdsTvc1qRrNv8vXkWjHaPjSeEJ5mCoSl0puGKoTPj9fHFESImoxuPVmEHxtg&#10;Xdze5Doz/kw7O+5jJbiEQqYR6hi7TMpQ1tbpMPOdJfa+fO905LOvpOn1mctdKxOlnqXTDfGHWnd2&#10;U9vyez84hOkgHzbNYjy+J2+/h2G3PS63NEe8v5teViCineJ/GC74jA4FM538QCaIFoGHRIRkMWdx&#10;sZVKWZ0Q0iRRIItcXi8o/gAAAP//AwBQSwECLQAUAAYACAAAACEAtoM4kv4AAADhAQAAEwAAAAAA&#10;AAAAAAAAAAAAAAAAW0NvbnRlbnRfVHlwZXNdLnhtbFBLAQItABQABgAIAAAAIQA4/SH/1gAAAJQB&#10;AAALAAAAAAAAAAAAAAAAAC8BAABfcmVscy8ucmVsc1BLAQItABQABgAIAAAAIQDC0vFu7QIAABsG&#10;AAAOAAAAAAAAAAAAAAAAAC4CAABkcnMvZTJvRG9jLnhtbFBLAQItABQABgAIAAAAIQBqHKSG3wAA&#10;AAkBAAAPAAAAAAAAAAAAAAAAAEcFAABkcnMvZG93bnJldi54bWxQSwUGAAAAAAQABADzAAAAUwYA&#10;AAAA&#10;" fillcolor="#d8d8d8 [2732]" stroked="f">
                <v:textbox inset="14.4pt,23.76pt,14.4pt,23.76pt">
                  <w:txbxContent>
                    <w:p w:rsidR="00A359AE" w:rsidRDefault="009E0001" w:rsidP="003444F9">
                      <w:pPr>
                        <w:pStyle w:val="IGStandardheading"/>
                      </w:pPr>
                      <w:bookmarkStart w:id="1" w:name="_GoBack"/>
                      <w:bookmarkEnd w:id="1"/>
                      <w:r w:rsidRPr="00A359AE">
                        <w:rPr>
                          <w:lang w:val="nl-NL"/>
                        </w:rPr>
                        <w:t xml:space="preserve">Standaard 2600 </w:t>
                      </w:r>
                      <w:r w:rsidR="00B5474D">
                        <w:rPr>
                          <w:lang w:val="nl-NL"/>
                        </w:rPr>
                        <w:t>–</w:t>
                      </w:r>
                      <w:r w:rsidR="00CF1688">
                        <w:rPr>
                          <w:lang w:val="nl-NL"/>
                        </w:rPr>
                        <w:t xml:space="preserve"> </w:t>
                      </w:r>
                      <w:r w:rsidR="00B5474D">
                        <w:rPr>
                          <w:lang w:val="nl-NL"/>
                        </w:rPr>
                        <w:t>C</w:t>
                      </w:r>
                      <w:r w:rsidRPr="00A359AE">
                        <w:rPr>
                          <w:lang w:val="nl-NL"/>
                        </w:rPr>
                        <w:t>ommunicatie van de risicoacceptatie</w:t>
                      </w:r>
                    </w:p>
                    <w:p w:rsidR="00A359AE" w:rsidRPr="00BE0CD8" w:rsidRDefault="009E0001" w:rsidP="003444F9">
                      <w:pPr>
                        <w:pStyle w:val="IGStandardbody"/>
                        <w:rPr>
                          <w:sz w:val="22"/>
                          <w:szCs w:val="22"/>
                        </w:rPr>
                      </w:pPr>
                      <w:r w:rsidRPr="00BE0CD8">
                        <w:rPr>
                          <w:sz w:val="22"/>
                          <w:szCs w:val="22"/>
                          <w:lang w:val="nl-NL"/>
                        </w:rPr>
                        <w:t xml:space="preserve">Wanneer het hoofd van de internal auditfunctie meent dat het management een risiconiveau heeft aanvaard dat ontoelaatbaar zou kunnen zijn voor de organisatie, moet het hoofd van de internal auditfunctie dit met het senior management bespreken. Als het hoofd van de internal auditfunctie vaststelt dat deze kwestie niet is opgelost, moet het hoofd van de internal auditfunctie deze kwestie communiceren aan het bestuur. </w:t>
                      </w:r>
                    </w:p>
                    <w:p w:rsidR="00A25867" w:rsidRPr="00BE0CD8" w:rsidRDefault="009E0001" w:rsidP="003444F9">
                      <w:pPr>
                        <w:pStyle w:val="IGStandardbody"/>
                        <w:rPr>
                          <w:b/>
                          <w:bCs/>
                          <w:sz w:val="22"/>
                          <w:szCs w:val="22"/>
                        </w:rPr>
                      </w:pPr>
                      <w:r w:rsidRPr="00BE0CD8">
                        <w:rPr>
                          <w:b/>
                          <w:bCs/>
                          <w:sz w:val="22"/>
                          <w:szCs w:val="22"/>
                          <w:lang w:val="nl-NL"/>
                        </w:rPr>
                        <w:t>Interpretatie:</w:t>
                      </w:r>
                    </w:p>
                    <w:p w:rsidR="00B01FFE" w:rsidRPr="00BE0CD8" w:rsidRDefault="009E0001" w:rsidP="003444F9">
                      <w:pPr>
                        <w:pStyle w:val="IGStandardinterpretationbody"/>
                        <w:rPr>
                          <w:sz w:val="22"/>
                          <w:szCs w:val="22"/>
                        </w:rPr>
                      </w:pPr>
                      <w:r w:rsidRPr="00BE0CD8">
                        <w:rPr>
                          <w:iCs/>
                          <w:sz w:val="22"/>
                          <w:szCs w:val="22"/>
                          <w:lang w:val="nl-NL"/>
                        </w:rPr>
                        <w:t>De identificatie van een door het management aanvaard risico kan worden waargenomen op grond van een audit- of een adviesopdracht, het controleren van de voortgang van door het management genomen maatregelen als gevolg van eerdere opdrachten, of anderszins.</w:t>
                      </w:r>
                      <w:r w:rsidRPr="00BE0CD8">
                        <w:rPr>
                          <w:i w:val="0"/>
                          <w:sz w:val="22"/>
                          <w:szCs w:val="22"/>
                          <w:lang w:val="nl-NL"/>
                        </w:rPr>
                        <w:t xml:space="preserve"> </w:t>
                      </w:r>
                      <w:r w:rsidRPr="00BE0CD8">
                        <w:rPr>
                          <w:iCs/>
                          <w:sz w:val="22"/>
                          <w:szCs w:val="22"/>
                          <w:lang w:val="nl-NL"/>
                        </w:rPr>
                        <w:t>Het oplossen van het risico valt niet onder de verantwoordelijkheid van het hoofd van de internal auditfunctie.</w:t>
                      </w:r>
                    </w:p>
                    <w:p w:rsidR="00A73913" w:rsidRPr="00BE0CD8" w:rsidRDefault="009E0001" w:rsidP="00A73913">
                      <w:pPr>
                        <w:pStyle w:val="Kop2"/>
                        <w:shd w:val="clear" w:color="auto" w:fill="D9D9D9" w:themeFill="background1" w:themeFillShade="D9"/>
                        <w:spacing w:before="0" w:line="255" w:lineRule="atLeast"/>
                        <w:jc w:val="right"/>
                        <w:rPr>
                          <w:rFonts w:ascii="Arial" w:hAnsi="Arial" w:cs="Arial"/>
                          <w:color w:val="auto"/>
                          <w:sz w:val="22"/>
                          <w:szCs w:val="22"/>
                        </w:rPr>
                      </w:pPr>
                      <w:proofErr w:type="spellStart"/>
                      <w:r w:rsidRPr="00BE0CD8">
                        <w:rPr>
                          <w:rFonts w:ascii="Arial" w:hAnsi="Arial" w:cs="Arial"/>
                          <w:color w:val="auto"/>
                          <w:sz w:val="22"/>
                          <w:szCs w:val="22"/>
                          <w:lang w:val="nl-NL"/>
                        </w:rPr>
                        <w:t>Herziene</w:t>
                      </w:r>
                      <w:proofErr w:type="spellEnd"/>
                      <w:r w:rsidRPr="00BE0CD8">
                        <w:rPr>
                          <w:rFonts w:ascii="Arial" w:hAnsi="Arial" w:cs="Arial"/>
                          <w:color w:val="auto"/>
                          <w:sz w:val="22"/>
                          <w:szCs w:val="22"/>
                          <w:lang w:val="nl-NL"/>
                        </w:rPr>
                        <w:t xml:space="preserve"> </w:t>
                      </w:r>
                      <w:r w:rsidRPr="00BE0CD8">
                        <w:rPr>
                          <w:rFonts w:ascii="Arial" w:hAnsi="Arial" w:cs="Arial"/>
                          <w:i/>
                          <w:color w:val="auto"/>
                          <w:sz w:val="22"/>
                          <w:szCs w:val="22"/>
                          <w:lang w:val="nl-NL"/>
                        </w:rPr>
                        <w:t>Standaarden</w:t>
                      </w:r>
                      <w:r w:rsidRPr="00BE0CD8">
                        <w:rPr>
                          <w:rFonts w:ascii="Arial" w:hAnsi="Arial" w:cs="Arial"/>
                          <w:color w:val="auto"/>
                          <w:sz w:val="22"/>
                          <w:szCs w:val="22"/>
                          <w:lang w:val="nl-NL"/>
                        </w:rPr>
                        <w:t xml:space="preserve"> die per 1 januari 2017 van kracht zijn</w:t>
                      </w:r>
                    </w:p>
                    <w:p w:rsidR="00A73913" w:rsidRPr="00BE0CD8" w:rsidRDefault="00B5474D" w:rsidP="003444F9">
                      <w:pPr>
                        <w:pStyle w:val="IGStandardinterpretationbody"/>
                        <w:rPr>
                          <w:sz w:val="22"/>
                          <w:szCs w:val="22"/>
                        </w:rPr>
                      </w:pPr>
                    </w:p>
                  </w:txbxContent>
                </v:textbox>
                <w10:wrap type="square" anchorx="margin"/>
              </v:shape>
            </w:pict>
          </mc:Fallback>
        </mc:AlternateContent>
      </w:r>
      <w:r w:rsidRPr="003444F9">
        <w:rPr>
          <w:noProof/>
          <w:lang w:val="nl-NL" w:eastAsia="nl-NL"/>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-228600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01FFE" w:rsidRPr="00E6381B" w:rsidRDefault="009E0001" w:rsidP="00E6381B">
                            <w:pPr>
                              <w:pStyle w:val="Headline"/>
                              <w:jc w:val="right"/>
                              <w:rPr>
                                <w:color w:val="FFFFFF" w:themeColor="background1"/>
                                <w:sz w:val="50"/>
                                <w:szCs w:val="50"/>
                              </w:rPr>
                            </w:pPr>
                            <w:r w:rsidRPr="00A359AE">
                              <w:rPr>
                                <w:color w:val="FFFFFF" w:themeColor="background1"/>
                                <w:sz w:val="50"/>
                                <w:szCs w:val="50"/>
                                <w:lang w:val="nl-NL"/>
                              </w:rPr>
                              <w:t>Implementatierichtlijn 2600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2in;margin-top:-18pt;width:342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RWps0N4AAAALAQAADwAAAGRycy9kb3ducmV2LnhtbExPQWrDMBC8F/IHsYFeSiLH&#10;Bcd1LYdSCJTQHpL2AWtrY5lYkrEUx/19t6f2NrMzzM6Uu9n2YqIxdN4p2KwTEOQarzvXKvj63K9y&#10;ECGi09h7Rwq+KcCuWtyVWGh/c0eaTrEVHOJCgQpMjEMhZWgMWQxrP5Bj7exHi5Hp2Eo94o3DbS/T&#10;JMmkxc7xB4MDvRpqLqerVfBghuTj/fxW73XWmMsh4NZOB6Xul/PLM4hIc/wzw299rg4Vd6r91ekg&#10;egVpnvOWqGD1mDFgx9M2ZVCztOGLrEr5f0P1AwAA//8DAFBLAQItABQABgAIAAAAIQC2gziS/gAA&#10;AOEBAAATAAAAAAAAAAAAAAAAAAAAAABbQ29udGVudF9UeXBlc10ueG1sUEsBAi0AFAAGAAgAAAAh&#10;ADj9If/WAAAAlAEAAAsAAAAAAAAAAAAAAAAALwEAAF9yZWxzLy5yZWxzUEsBAi0AFAAGAAgAAAAh&#10;APwWnoyHAgAAXQUAAA4AAAAAAAAAAAAAAAAALgIAAGRycy9lMm9Eb2MueG1sUEsBAi0AFAAGAAgA&#10;AAAhAEVqbNDeAAAACwEAAA8AAAAAAAAAAAAAAAAA4QQAAGRycy9kb3ducmV2LnhtbFBLBQYAAAAA&#10;BAAEAPMAAADsBQAAAAA=&#10;" filled="f" stroked="f">
                <v:textbox>
                  <w:txbxContent>
                    <w:p w:rsidR="00B01FFE" w:rsidRPr="00E6381B" w:rsidRDefault="009E0001" w:rsidP="00E6381B">
                      <w:pPr>
                        <w:pStyle w:val="Headline"/>
                        <w:jc w:val="right"/>
                        <w:rPr>
                          <w:color w:val="FFFFFF" w:themeColor="background1"/>
                          <w:sz w:val="50"/>
                          <w:szCs w:val="50"/>
                        </w:rPr>
                      </w:pPr>
                      <w:r w:rsidRPr="00A359AE">
                        <w:rPr>
                          <w:color w:val="FFFFFF" w:themeColor="background1"/>
                          <w:sz w:val="50"/>
                          <w:szCs w:val="50"/>
                          <w:lang w:val="nl-NL"/>
                        </w:rPr>
                        <w:t>Implementatierichtlijn 2600</w:t>
                      </w:r>
                    </w:p>
                  </w:txbxContent>
                </v:textbox>
                <w10:wrap type="square"/>
              </v:shape>
            </w:pict>
          </mc:Fallback>
        </mc:AlternateContent>
      </w:r>
      <w:r w:rsidRPr="003444F9">
        <w:rPr>
          <w:lang w:val="nl-NL"/>
        </w:rPr>
        <w:t>Inleiding</w:t>
      </w:r>
    </w:p>
    <w:p w:rsidR="00A359AE" w:rsidRPr="00BE0CD8" w:rsidRDefault="009E0001" w:rsidP="00EE2733">
      <w:pPr>
        <w:pStyle w:val="TemplateHeadline"/>
        <w:spacing w:line="288" w:lineRule="auto"/>
        <w:rPr>
          <w:rFonts w:ascii="Arial" w:hAnsi="Arial" w:cs="Arial"/>
          <w:color w:val="000000"/>
          <w:sz w:val="22"/>
          <w:szCs w:val="22"/>
        </w:rPr>
      </w:pPr>
      <w:r w:rsidRPr="00BE0CD8">
        <w:rPr>
          <w:rFonts w:ascii="Arial" w:hAnsi="Arial" w:cs="Arial"/>
          <w:color w:val="000000"/>
          <w:sz w:val="22"/>
          <w:szCs w:val="22"/>
          <w:lang w:val="nl-NL"/>
        </w:rPr>
        <w:t xml:space="preserve">Om Standaard 2600 succesvol te implementeren, moet het hoofd van de internal auditfunctie zich eerst inzicht verschaffen in de visie en tolerantie van de organisatie ten aanzien van diverse typen organisatierisico's. Organisaties verschillen in de mate van risico en typen risico's die zij aanvaardbaar achten. Zo aanvaarden sommige organisaties in hogere mate financiële risico's, bijvoorbeeld om uit te breiden naar een nieuwe markt in een land met een onstabiele regering, of om te investeren in een opwindend nieuw product dat een relatief kleine kans op succes heeft maar een hoog rendement als het een succes wordt. Andere organisaties mijden dergelijke financiële risico's en situaties. Daarnaast verschillen organisaties in de factoren die zij in aanmerking nemen bij het bepalen van het aanvaardbare risiconiveau, zoals de mogelijke impact en waarschijnlijkheid van de risicogebeurtenis en </w:t>
      </w:r>
      <w:r w:rsidRPr="00BE0CD8">
        <w:rPr>
          <w:rFonts w:ascii="Arial" w:hAnsi="Arial" w:cs="Arial"/>
          <w:color w:val="000000"/>
          <w:sz w:val="22"/>
          <w:szCs w:val="22"/>
          <w:lang w:val="nl-NL"/>
        </w:rPr>
        <w:lastRenderedPageBreak/>
        <w:t xml:space="preserve">de tijd die het management nodig heeft om een onaanvaardbaar risico te ondervangen. </w:t>
      </w:r>
    </w:p>
    <w:p w:rsidR="00A359AE" w:rsidRPr="00BE0CD8" w:rsidRDefault="009E0001" w:rsidP="00EE2733">
      <w:pPr>
        <w:pStyle w:val="TemplateHeadline"/>
        <w:spacing w:line="288" w:lineRule="auto"/>
        <w:rPr>
          <w:rFonts w:ascii="Arial" w:hAnsi="Arial" w:cs="Arial"/>
          <w:color w:val="000000"/>
          <w:sz w:val="22"/>
          <w:szCs w:val="22"/>
        </w:rPr>
      </w:pPr>
      <w:r w:rsidRPr="00BE0CD8">
        <w:rPr>
          <w:rFonts w:ascii="Arial" w:hAnsi="Arial" w:cs="Arial"/>
          <w:color w:val="000000"/>
          <w:sz w:val="22"/>
          <w:szCs w:val="22"/>
          <w:lang w:val="nl-NL"/>
        </w:rPr>
        <w:t xml:space="preserve">Indien de organisatie een formeel beleid voor risicomanagement heeft, dat een proces voor risicoaanvaarding kan omvatten, is het belangrijk dat de CAE en de internal auditfunctie hier kennis van hebben. </w:t>
      </w:r>
    </w:p>
    <w:p w:rsidR="00A359AE" w:rsidRPr="00BE0CD8" w:rsidRDefault="009E0001" w:rsidP="00EE2733">
      <w:pPr>
        <w:pStyle w:val="TemplateHeadline"/>
        <w:spacing w:line="288" w:lineRule="auto"/>
        <w:rPr>
          <w:rFonts w:ascii="Arial" w:hAnsi="Arial" w:cs="Arial"/>
          <w:color w:val="000000"/>
          <w:sz w:val="22"/>
          <w:szCs w:val="22"/>
        </w:rPr>
      </w:pPr>
      <w:r w:rsidRPr="00BE0CD8">
        <w:rPr>
          <w:rFonts w:ascii="Arial" w:hAnsi="Arial" w:cs="Arial"/>
          <w:color w:val="000000"/>
          <w:sz w:val="22"/>
          <w:szCs w:val="22"/>
          <w:lang w:val="nl-NL"/>
        </w:rPr>
        <w:t xml:space="preserve">Conform Standaard 2500 moet de CAE ook een systeem opzetten en onderhouden om toe te zien op de opvolging van de aan het management geapporteerde bevindingen. </w:t>
      </w:r>
    </w:p>
    <w:p w:rsidR="00A359AE" w:rsidRPr="00BE0CD8" w:rsidRDefault="009E0001" w:rsidP="00EE2733">
      <w:pPr>
        <w:pStyle w:val="TemplateHeadline"/>
        <w:spacing w:line="288" w:lineRule="auto"/>
        <w:rPr>
          <w:rFonts w:ascii="Arial" w:hAnsi="Arial" w:cs="Arial"/>
          <w:color w:val="000000"/>
          <w:sz w:val="22"/>
          <w:szCs w:val="22"/>
        </w:rPr>
      </w:pPr>
      <w:r w:rsidRPr="00BE0CD8">
        <w:rPr>
          <w:rFonts w:ascii="Arial" w:hAnsi="Arial" w:cs="Arial"/>
          <w:color w:val="000000"/>
          <w:sz w:val="22"/>
          <w:szCs w:val="22"/>
          <w:lang w:val="nl-NL"/>
        </w:rPr>
        <w:t xml:space="preserve">Daarnaast is het nuttig als de CAE weet hoe kwesties met een hoger risico gewoonlijk binnen de organisatie gecommuniceerd worden. Mogelijk wordt in bestaand beleid beschreven welke communicatieaanpak de voorkeur heeft. Het risicomanagementbeleid kan bijvoorbeeld richtsnoeren voor de tijdigheid, de hiërarchie van de rapportage en soortgelijke aspecten bevatten. </w:t>
      </w:r>
      <w:r w:rsidR="00BE0CD8">
        <w:rPr>
          <w:rFonts w:ascii="Arial" w:hAnsi="Arial" w:cs="Arial"/>
          <w:color w:val="000000"/>
          <w:sz w:val="22"/>
          <w:szCs w:val="22"/>
          <w:lang w:val="nl-NL"/>
        </w:rPr>
        <w:br/>
      </w:r>
    </w:p>
    <w:p w:rsidR="00A25867" w:rsidRPr="003444F9" w:rsidRDefault="009E0001" w:rsidP="003444F9">
      <w:pPr>
        <w:pStyle w:val="TemplateHeadline"/>
      </w:pPr>
      <w:r w:rsidRPr="003444F9">
        <w:rPr>
          <w:lang w:val="nl-NL"/>
        </w:rPr>
        <w:t>Overwegingen bij de implementatie</w:t>
      </w:r>
    </w:p>
    <w:p w:rsidR="003E41E8" w:rsidRPr="00BE0CD8" w:rsidRDefault="009E0001" w:rsidP="00DA6E1B">
      <w:pPr>
        <w:pStyle w:val="IGbodytext"/>
        <w:rPr>
          <w:sz w:val="22"/>
          <w:szCs w:val="22"/>
        </w:rPr>
      </w:pPr>
      <w:r w:rsidRPr="00BE0CD8">
        <w:rPr>
          <w:sz w:val="22"/>
          <w:szCs w:val="22"/>
          <w:lang w:val="nl-NL"/>
        </w:rPr>
        <w:t>In het kader van het monitoren van de opvolging van bevindingen en de bijbehorende verbeteracties, kan het gebeuren dat de CAE kwesties met een hoog risico observeert die niet tijdig worden opgelost of die een hoger risico inhouden dan de organisatie normaliter zou aanvaarden en dus onaanvaardbaar zijn voor de organisatie.</w:t>
      </w:r>
    </w:p>
    <w:p w:rsidR="00A359AE" w:rsidRPr="00BE0CD8" w:rsidRDefault="009E0001" w:rsidP="00DA6E1B">
      <w:pPr>
        <w:pStyle w:val="IGbodytext"/>
        <w:rPr>
          <w:sz w:val="22"/>
          <w:szCs w:val="22"/>
        </w:rPr>
      </w:pPr>
      <w:r w:rsidRPr="00BE0CD8">
        <w:rPr>
          <w:sz w:val="22"/>
          <w:szCs w:val="22"/>
          <w:lang w:val="nl-NL"/>
        </w:rPr>
        <w:t xml:space="preserve">Het voortdurende monitoringsproces is niet de enige manier waarop een CAE onaanvaardbare risico's identificeert. Een effectieve CAE zet diverse werkwijzen in om op de hoogte te blijven van organisatierisico's. Zo kan de CAE informatie ontvangen van medewerkers van de internal auditfunctie over belangrijke risico's die zij tijdens hun assurance- of adviesopdrachten hebben geïdentificeerd. Of de organisatie hanteert een proces voor risicobeheer (Enterprise Risk Management (ERM)) om belangrijke risico's te identificeren en monitoren; het kan zijn dat de CAE betrokken is bij dit proces. Daarnaast kan de CAE door het opbouwen en onderhouden van een op samenwerking gebaseerd communicatienetwerk met het management op de hoogte komen van een gebied in de organisatie met een opkomend risico. Ook streven CAE's ernaar om op de hoogte te blijven van sectortrends en veranderingen in wet- en regelgeving om zo mogelijke en opkomende risico's beter te kunnen herkennen. </w:t>
      </w:r>
    </w:p>
    <w:p w:rsidR="00A359AE" w:rsidRPr="00BE0CD8" w:rsidRDefault="009E0001" w:rsidP="00EE2733">
      <w:pPr>
        <w:pStyle w:val="IGbodytext"/>
        <w:rPr>
          <w:sz w:val="22"/>
          <w:szCs w:val="22"/>
        </w:rPr>
      </w:pPr>
      <w:r w:rsidRPr="00BE0CD8">
        <w:rPr>
          <w:sz w:val="22"/>
          <w:szCs w:val="22"/>
          <w:lang w:val="nl-NL"/>
        </w:rPr>
        <w:t xml:space="preserve">Ongeacht hoe een onaanvaardbaar risico wordt geïdentificeerd, moet de CAE dit risico aan het senior management communiceren indien de CAE vaststelt dat het risico hoger is dan de organisatie normaliter zou aanvaarden en de CAE meent dat het risico niet tot een aanvaardbaar niveau is beperkt. Voorafgaand aan deze rapportage bespreekt de CAE de kwestie meestal met de leden van het management die verantwoordelijk zijn voor het risicogebied om de zorgen duidelijk te maken, inzicht te krijgen in het standpunt van het management en een proces overeen te komen om het risico te ondervangen. Als hierover echter geen overeenstemming wordt bereikt, moet de CAE de kwestie doorverwijzen naar het senior management. Indien het risico ook na een soortgelijke bespreking met </w:t>
      </w:r>
      <w:r w:rsidRPr="00BE0CD8">
        <w:rPr>
          <w:sz w:val="22"/>
          <w:szCs w:val="22"/>
          <w:lang w:val="nl-NL"/>
        </w:rPr>
        <w:lastRenderedPageBreak/>
        <w:t xml:space="preserve">het senior management nog steeds niet is ondervangen, moet de CAE de kwestie rapporteren aan het bestuur. Het is dan aan het bestuur om te besluiten hoe men de kwestie samen met het management aanpakt. </w:t>
      </w:r>
    </w:p>
    <w:p w:rsidR="00A359AE" w:rsidRPr="00BE0CD8" w:rsidRDefault="009E0001" w:rsidP="00DA6E1B">
      <w:pPr>
        <w:pStyle w:val="IGbodytext"/>
        <w:rPr>
          <w:sz w:val="22"/>
          <w:szCs w:val="22"/>
        </w:rPr>
      </w:pPr>
      <w:r w:rsidRPr="00BE0CD8">
        <w:rPr>
          <w:sz w:val="22"/>
          <w:szCs w:val="22"/>
          <w:lang w:val="nl-NL"/>
        </w:rPr>
        <w:t xml:space="preserve">De CAE gebruikt oordeelsvorming om te bepalen hoe en hoe snel dergelijke zaken aan wie moeten worden gecommuniceerd. Hij of zij doet dit op basis van de aard en urgentie van de kwestie, de mogelijke impact ervan en de eventuele bestaande procedures. Als bijvoorbeeld wet- of regeling is overtreden, moet dan het hoofd van de juridische afdeling worden geraadpleegd? En moet het risico worden gecommuniceerd in een besloten vergadering met een bestuurslid of in een </w:t>
      </w:r>
      <w:proofErr w:type="spellStart"/>
      <w:r w:rsidRPr="00BE0CD8">
        <w:rPr>
          <w:sz w:val="22"/>
          <w:szCs w:val="22"/>
          <w:lang w:val="nl-NL"/>
        </w:rPr>
        <w:t>functieoverschrijdende</w:t>
      </w:r>
      <w:proofErr w:type="spellEnd"/>
      <w:r w:rsidRPr="00BE0CD8">
        <w:rPr>
          <w:sz w:val="22"/>
          <w:szCs w:val="22"/>
          <w:lang w:val="nl-NL"/>
        </w:rPr>
        <w:t xml:space="preserve"> vergadering die wordt bijgewoond door vele vaktechnische specialisten?</w:t>
      </w:r>
    </w:p>
    <w:p w:rsidR="00A359AE" w:rsidRPr="00BE0CD8" w:rsidRDefault="009E0001" w:rsidP="006A047A">
      <w:pPr>
        <w:pStyle w:val="IGbodytext"/>
        <w:spacing w:after="120"/>
        <w:rPr>
          <w:sz w:val="22"/>
          <w:szCs w:val="22"/>
        </w:rPr>
      </w:pPr>
      <w:r w:rsidRPr="00BE0CD8">
        <w:rPr>
          <w:sz w:val="22"/>
          <w:szCs w:val="22"/>
          <w:lang w:val="nl-NL"/>
        </w:rPr>
        <w:t>Standaard 2600 is van toepassing op zeer belangrijke risico's die naar het oordeel van de CAE het door de organisatie getolereerde niveau overstijgen. Hierbij valt te denken aan:</w:t>
      </w:r>
    </w:p>
    <w:p w:rsidR="00A359AE" w:rsidRPr="00BE0CD8" w:rsidRDefault="009E0001" w:rsidP="00A359AE">
      <w:pPr>
        <w:pStyle w:val="RedBullets"/>
        <w:rPr>
          <w:rFonts w:asciiTheme="minorHAnsi" w:hAnsiTheme="minorHAnsi" w:cstheme="minorHAnsi"/>
          <w:sz w:val="22"/>
          <w:szCs w:val="22"/>
        </w:rPr>
      </w:pPr>
      <w:r w:rsidRPr="00BE0CD8">
        <w:rPr>
          <w:rFonts w:asciiTheme="minorHAnsi" w:hAnsiTheme="minorHAnsi" w:cstheme="minorHAnsi"/>
          <w:sz w:val="22"/>
          <w:szCs w:val="22"/>
          <w:lang w:val="nl-NL"/>
        </w:rPr>
        <w:t>Risico's die de reputatie van de organisatie kunnen schaden.</w:t>
      </w:r>
    </w:p>
    <w:p w:rsidR="005F79F9" w:rsidRPr="00BE0CD8" w:rsidRDefault="009E0001" w:rsidP="00950085">
      <w:pPr>
        <w:pStyle w:val="RedBullets"/>
        <w:rPr>
          <w:rFonts w:asciiTheme="minorHAnsi" w:hAnsiTheme="minorHAnsi" w:cstheme="minorHAnsi"/>
          <w:sz w:val="22"/>
          <w:szCs w:val="22"/>
        </w:rPr>
      </w:pPr>
      <w:r w:rsidRPr="00BE0CD8">
        <w:rPr>
          <w:rFonts w:asciiTheme="minorHAnsi" w:hAnsiTheme="minorHAnsi" w:cstheme="minorHAnsi"/>
          <w:sz w:val="22"/>
          <w:szCs w:val="22"/>
          <w:lang w:val="nl-NL"/>
        </w:rPr>
        <w:t>Risico's die mensen persoonlijk kunnen schaden.</w:t>
      </w:r>
    </w:p>
    <w:p w:rsidR="005F79F9" w:rsidRPr="00BE0CD8" w:rsidRDefault="009E0001" w:rsidP="005F79F9">
      <w:pPr>
        <w:pStyle w:val="RedBullets"/>
        <w:rPr>
          <w:sz w:val="22"/>
          <w:szCs w:val="22"/>
        </w:rPr>
      </w:pPr>
      <w:r w:rsidRPr="00BE0CD8">
        <w:rPr>
          <w:rFonts w:asciiTheme="minorHAnsi" w:hAnsiTheme="minorHAnsi" w:cstheme="minorHAnsi"/>
          <w:sz w:val="22"/>
          <w:szCs w:val="22"/>
          <w:lang w:val="nl-NL"/>
        </w:rPr>
        <w:t xml:space="preserve">Risico's die kunnen leiden tot aanzienlijke boetes door toezichthouders, boetes, restricties op bedrijfsactiviteiten of andere financiële of contractuele sancties. </w:t>
      </w:r>
    </w:p>
    <w:p w:rsidR="00A359AE" w:rsidRPr="00BE0CD8" w:rsidRDefault="009E0001" w:rsidP="00A359AE">
      <w:pPr>
        <w:pStyle w:val="RedBullets"/>
        <w:rPr>
          <w:rFonts w:asciiTheme="minorHAnsi" w:hAnsiTheme="minorHAnsi" w:cstheme="minorHAnsi"/>
          <w:sz w:val="22"/>
          <w:szCs w:val="22"/>
        </w:rPr>
      </w:pPr>
      <w:r w:rsidRPr="00BE0CD8">
        <w:rPr>
          <w:rFonts w:asciiTheme="minorHAnsi" w:hAnsiTheme="minorHAnsi" w:cstheme="minorHAnsi"/>
          <w:sz w:val="22"/>
          <w:szCs w:val="22"/>
          <w:lang w:val="nl-NL"/>
        </w:rPr>
        <w:t>Afwijkingen van materieel belang.</w:t>
      </w:r>
    </w:p>
    <w:p w:rsidR="00A359AE" w:rsidRPr="00BE0CD8" w:rsidRDefault="009E0001" w:rsidP="00A359AE">
      <w:pPr>
        <w:pStyle w:val="RedBullets"/>
        <w:rPr>
          <w:rFonts w:asciiTheme="minorHAnsi" w:hAnsiTheme="minorHAnsi" w:cstheme="minorHAnsi"/>
          <w:sz w:val="22"/>
          <w:szCs w:val="22"/>
        </w:rPr>
      </w:pPr>
      <w:r w:rsidRPr="00BE0CD8">
        <w:rPr>
          <w:rFonts w:asciiTheme="minorHAnsi" w:hAnsiTheme="minorHAnsi" w:cstheme="minorHAnsi"/>
          <w:sz w:val="22"/>
          <w:szCs w:val="22"/>
          <w:lang w:val="nl-NL"/>
        </w:rPr>
        <w:t xml:space="preserve">Fraude of andere strafbare feiten. </w:t>
      </w:r>
    </w:p>
    <w:p w:rsidR="00A359AE" w:rsidRPr="00BE0CD8" w:rsidRDefault="009E0001" w:rsidP="00A359AE">
      <w:pPr>
        <w:pStyle w:val="RedBullets"/>
        <w:rPr>
          <w:rFonts w:asciiTheme="minorHAnsi" w:hAnsiTheme="minorHAnsi" w:cstheme="minorHAnsi"/>
          <w:sz w:val="22"/>
          <w:szCs w:val="22"/>
        </w:rPr>
      </w:pPr>
      <w:r w:rsidRPr="00BE0CD8">
        <w:rPr>
          <w:rFonts w:asciiTheme="minorHAnsi" w:hAnsiTheme="minorHAnsi" w:cstheme="minorHAnsi"/>
          <w:sz w:val="22"/>
          <w:szCs w:val="22"/>
          <w:lang w:val="nl-NL"/>
        </w:rPr>
        <w:t>Ernstige belemmeringen voor het realiseren van strategische doelstellingen.</w:t>
      </w:r>
    </w:p>
    <w:p w:rsidR="00A359AE" w:rsidRPr="00BE0CD8" w:rsidRDefault="00B5474D" w:rsidP="005B3975">
      <w:pPr>
        <w:pStyle w:val="TemplateHeadline"/>
        <w:spacing w:line="288" w:lineRule="auto"/>
        <w:rPr>
          <w:rFonts w:ascii="Arial" w:hAnsi="Arial" w:cs="Arial"/>
          <w:sz w:val="22"/>
          <w:szCs w:val="22"/>
        </w:rPr>
      </w:pPr>
    </w:p>
    <w:p w:rsidR="00893833" w:rsidRPr="003444F9" w:rsidRDefault="009E0001" w:rsidP="003444F9">
      <w:pPr>
        <w:pStyle w:val="TemplateHeadline"/>
      </w:pPr>
      <w:r w:rsidRPr="003444F9">
        <w:rPr>
          <w:lang w:val="nl-NL"/>
        </w:rPr>
        <w:t>Overwegingen bij het aantonen van de naleving</w:t>
      </w:r>
    </w:p>
    <w:p w:rsidR="00A359AE" w:rsidRPr="00BE0CD8" w:rsidRDefault="009E0001" w:rsidP="005F79F9">
      <w:pPr>
        <w:pStyle w:val="IGbodytext"/>
        <w:rPr>
          <w:sz w:val="22"/>
          <w:szCs w:val="22"/>
        </w:rPr>
      </w:pPr>
      <w:r w:rsidRPr="00BE0CD8">
        <w:rPr>
          <w:sz w:val="22"/>
          <w:szCs w:val="22"/>
          <w:lang w:val="nl-NL"/>
        </w:rPr>
        <w:t>De naleving kan worden aangetoond door de notulen van vergaderingen waarin een kwestie met een belangrijk risico is besproken met het senior management, het bestuur of een risicocommissie. Indien de CAE het onaanvaardbare risico rapporteert in een gesprek onder twee ogen of in een besloten vergadering, kan een memorandum worden opgesteld om de stappen te documenteren die zijn genomen om het management en bestuur op de hoogte te brengen van het risico. Daarnaast kan de naleving indirect blijken uit bepalingen in het beleidshandboek van de internal auditfunctie die de vereisten op grond van Standaard 2600 en voor het rapportageproces van de organisatie uiteenzetten.</w:t>
      </w:r>
    </w:p>
    <w:p w:rsidR="006050F3" w:rsidRPr="008C463E" w:rsidRDefault="009E0001" w:rsidP="00DA6E1B">
      <w:pPr>
        <w:pStyle w:val="IGbodytext"/>
      </w:pPr>
      <w:r w:rsidRPr="00146233">
        <w:rPr>
          <w:lang w:val="nl-NL"/>
        </w:rPr>
        <w:br w:type="page"/>
      </w:r>
      <w:r>
        <w:rPr>
          <w:noProof/>
          <w:lang w:val="nl-NL" w:eastAsia="nl-NL"/>
        </w:rPr>
        <w:lastRenderedPageBreak/>
        <mc:AlternateContent>
          <mc:Choice Requires="wps">
            <w:drawing>
              <wp:anchor distT="2103120" distB="274320" distL="114300" distR="114300" simplePos="0" relativeHeight="251662336" behindDoc="0" locked="0" layoutInCell="1" allowOverlap="1">
                <wp:simplePos x="0" y="0"/>
                <wp:positionH relativeFrom="margin">
                  <wp:posOffset>0</wp:posOffset>
                </wp:positionH>
                <wp:positionV relativeFrom="margin">
                  <wp:posOffset>2209800</wp:posOffset>
                </wp:positionV>
                <wp:extent cx="6400800" cy="56292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629275"/>
                        </a:xfrm>
                        <a:prstGeom prst="rect">
                          <a:avLst/>
                        </a:prstGeom>
                        <a:solidFill>
                          <a:schemeClr val="bg1">
                            <a:lumMod val="85000"/>
                          </a:schemeClr>
                        </a:solidFill>
                        <a:ln>
                          <a:noFill/>
                        </a:ln>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E0001" w:rsidRPr="00E6381B" w:rsidRDefault="009E0001" w:rsidP="009E0001">
                            <w:pPr>
                              <w:pStyle w:val="BoilerplateHeadline"/>
                            </w:pPr>
                            <w:r w:rsidRPr="00E6381B">
                              <w:rPr>
                                <w:lang w:val="nl-NL"/>
                              </w:rPr>
                              <w:t xml:space="preserve">Over het IIA </w:t>
                            </w:r>
                          </w:p>
                          <w:p w:rsidR="009E0001" w:rsidRPr="001A0D5D" w:rsidRDefault="009E0001" w:rsidP="009E0001">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9E0001" w:rsidRPr="00E6381B" w:rsidRDefault="009E0001" w:rsidP="009E0001">
                            <w:pPr>
                              <w:pStyle w:val="BoilerplateHeadline"/>
                            </w:pPr>
                            <w:r w:rsidRPr="00E6381B">
                              <w:rPr>
                                <w:lang w:val="nl-NL"/>
                              </w:rPr>
                              <w:t>Over de Implementatierichtlijnen</w:t>
                            </w:r>
                          </w:p>
                          <w:p w:rsidR="009E0001" w:rsidRDefault="009E0001" w:rsidP="009E0001">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9E0001" w:rsidRDefault="009E0001" w:rsidP="009E0001">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9E0001" w:rsidRDefault="009E0001" w:rsidP="009E0001">
                            <w:pPr>
                              <w:pStyle w:val="BoilerplateBodyText"/>
                              <w:ind w:right="60"/>
                            </w:pPr>
                            <w:r>
                              <w:rPr>
                                <w:lang w:val="nl-NL"/>
                              </w:rPr>
                              <w:t xml:space="preserve">Andere gezaghebbende richtlijnen van het IIA kunt u vinden op onze websites: www.globaliia.org/standards-guidance en www.theiia.org/guidance. </w:t>
                            </w:r>
                          </w:p>
                          <w:p w:rsidR="009E0001" w:rsidRDefault="009E0001" w:rsidP="009E0001">
                            <w:pPr>
                              <w:pStyle w:val="BoilerplateHeadline"/>
                            </w:pPr>
                            <w:r>
                              <w:rPr>
                                <w:lang w:val="nl-NL"/>
                              </w:rPr>
                              <w:t>Disclaimer</w:t>
                            </w:r>
                          </w:p>
                          <w:p w:rsidR="009E0001" w:rsidRDefault="009E0001" w:rsidP="009E0001">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9E0001" w:rsidRDefault="009E0001" w:rsidP="009E0001">
                            <w:pPr>
                              <w:pStyle w:val="BoilerplateHeadline"/>
                              <w:spacing w:after="60"/>
                            </w:pPr>
                            <w:r>
                              <w:rPr>
                                <w:lang w:val="nl-NL"/>
                              </w:rPr>
                              <w:t>Auteursrecht</w:t>
                            </w:r>
                          </w:p>
                          <w:p w:rsidR="009E0001" w:rsidRDefault="009E0001" w:rsidP="009E0001">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w:t>
                            </w:r>
                            <w:r w:rsidR="00CF1688">
                              <w:rPr>
                                <w:i/>
                                <w:iCs/>
                                <w:lang w:val="nl-NL"/>
                              </w:rPr>
                              <w:t xml:space="preserve"> </w:t>
                            </w:r>
                            <w:r>
                              <w:rPr>
                                <w:lang w:val="nl-NL"/>
                              </w:rPr>
                              <w:t xml:space="preserve">Toestemming voor reproductie van deze publicatie kunt u per e-mail aanvragen via guidance@theiia.org. </w:t>
                            </w:r>
                          </w:p>
                          <w:p w:rsidR="00E6381B" w:rsidRPr="00E6381B" w:rsidRDefault="00B5474D" w:rsidP="00E6381B"/>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174pt;width:7in;height:443.25pt;z-index:251662336;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L7gIAACIGAAAOAAAAZHJzL2Uyb0RvYy54bWysVFtv0zAUfkfiP1h+z3KhadJq6ZS1CkIa&#10;28SG9uw6dhvh2MF22wzEf+fYaboLvAzxkhyfy3fu5/yibwXaM20aJQscn0UYMUlV3chNgb/eV0GO&#10;kbFE1kQoyQr8yAy+WLx/d37o5ixRWyVqphGASDM/dAXeWtvNw9DQLWuJOVMdkyDkSrfEwlNvwlqT&#10;A6C3IkyiaBoelK47rSgzBrirQYgXHp9zRu0N54ZZJAoMsVn/1f67dt9wcU7mG026bUOPYZB/iKIl&#10;jQSnJ6gVsQTtdPMHVNtQrYzi9oyqNlScN5T5HCCbOHqVzd2WdMznAsUx3alM5v/B0uv9rUZNDb3D&#10;SJIWWnTPeosuVY9iV51DZ+agdNeBmu2B7TSPfANMl3TPdev+kA4COdT58VRbB0aBOZ1EUR6BiIIs&#10;nSazJEsdTvhk3mljPzLVIkcUWEPzfE3J/srYQXVUcd6MEk1dNUL4hxsYthQa7Qm0er2JvanYtZ9V&#10;PfDyNAL/A46fL6fuA3iBJKTDk8ohD8oDBxKBMJzMpeR7+7Mqy2S6+rAKVvksCyZrlgR5FU2Cy3KS&#10;xsssq+JV9su5fG60TLOkzNJZMC3TOJjEUR6UZZQEq6qMymhSLWeTS28EpRmdhq4NQ7k9ZR8Fc6hC&#10;fmEc2uer7hinxIacCaVMWt8wQPPaTotDbm8xPOr7PPxSvcWYjRbes5L2ZNw2Umnfp1dh19/GkPmg&#10;D216lrcjbb/u/dwm4zSuVf0IQ6rVsOSmo1UDg3RFjL0lGrYahg8ulb2BDxfqUGB1pDDaKv3jb3yn&#10;D8sGUowOcCUKbL7viGYYiU8S1jDOkzx3d8W/PkRxliYY6Rey9QuZ3LVLBRMK6wYRehLstRUjybVq&#10;H+Colc4ziIik4L/AdiSXdrhfcBQpK0uvBMekI/ZK3nXUQbtKu1W57x+I7o77ZGGYrtV4U8j81VoN&#10;us5SqnJnFW/8zrlaD5U99gAOkV+a49F0l+7522s9nfbFbwAAAP//AwBQSwMEFAAGAAgAAAAhAM4n&#10;PzDfAAAACgEAAA8AAABkcnMvZG93bnJldi54bWxMj0FPg0AQhe8m/ofNmHgx7a6ApkWWxjTx4sW2&#10;2vS6hRGI7CxhF4r+eoeT3r7Je3nzXraZbCtG7H3jSMP9UoFAKlzZUKXh4/1lsQLhg6HStI5Qwzd6&#10;2OTXV5lJS3ehPY6HUAkOIZ8aDXUIXSqlL2q0xi9dh8Tap+utCXz2lSx7c+Fw28pIqUdpTUP8oTYd&#10;bmssvg6D1TAd5d22ScbTW/T6cxz2u9N6R7HWtzfT8xOIgFP4M8Ncn6tDzp3ObqDSi1YDDwka4mTF&#10;MMtKzXRmiuLkAWSeyf8T8l8AAAD//wMAUEsBAi0AFAAGAAgAAAAhALaDOJL+AAAA4QEAABMAAAAA&#10;AAAAAAAAAAAAAAAAAFtDb250ZW50X1R5cGVzXS54bWxQSwECLQAUAAYACAAAACEAOP0h/9YAAACU&#10;AQAACwAAAAAAAAAAAAAAAAAvAQAAX3JlbHMvLnJlbHNQSwECLQAUAAYACAAAACEA/1MGi+4CAAAi&#10;BgAADgAAAAAAAAAAAAAAAAAuAgAAZHJzL2Uyb0RvYy54bWxQSwECLQAUAAYACAAAACEAzic/MN8A&#10;AAAKAQAADwAAAAAAAAAAAAAAAABIBQAAZHJzL2Rvd25yZXYueG1sUEsFBgAAAAAEAAQA8wAAAFQG&#10;AAAAAA==&#10;" fillcolor="#d8d8d8 [2732]" stroked="f">
                <v:textbox inset="14.4pt,23.76pt,14.4pt,23.76pt">
                  <w:txbxContent>
                    <w:p w:rsidR="009E0001" w:rsidRPr="00E6381B" w:rsidRDefault="009E0001" w:rsidP="009E0001">
                      <w:pPr>
                        <w:pStyle w:val="BoilerplateHeadline"/>
                      </w:pPr>
                      <w:r w:rsidRPr="00E6381B">
                        <w:rPr>
                          <w:lang w:val="nl-NL"/>
                        </w:rPr>
                        <w:t xml:space="preserve">Over het IIA </w:t>
                      </w:r>
                    </w:p>
                    <w:p w:rsidR="009E0001" w:rsidRPr="001A0D5D" w:rsidRDefault="009E0001" w:rsidP="009E0001">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9E0001" w:rsidRPr="00E6381B" w:rsidRDefault="009E0001" w:rsidP="009E0001">
                      <w:pPr>
                        <w:pStyle w:val="BoilerplateHeadline"/>
                      </w:pPr>
                      <w:r w:rsidRPr="00E6381B">
                        <w:rPr>
                          <w:lang w:val="nl-NL"/>
                        </w:rPr>
                        <w:t>Over de Implementatierichtlijnen</w:t>
                      </w:r>
                    </w:p>
                    <w:p w:rsidR="009E0001" w:rsidRDefault="009E0001" w:rsidP="009E0001">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9E0001" w:rsidRDefault="009E0001" w:rsidP="009E0001">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9E0001" w:rsidRDefault="009E0001" w:rsidP="009E0001">
                      <w:pPr>
                        <w:pStyle w:val="BoilerplateBodyText"/>
                        <w:ind w:right="60"/>
                      </w:pPr>
                      <w:r>
                        <w:rPr>
                          <w:lang w:val="nl-NL"/>
                        </w:rPr>
                        <w:t xml:space="preserve">Andere gezaghebbende richtlijnen van het IIA kunt u vinden op onze websites: www.globaliia.org/standards-guidance en www.theiia.org/guidance. </w:t>
                      </w:r>
                    </w:p>
                    <w:p w:rsidR="009E0001" w:rsidRDefault="009E0001" w:rsidP="009E0001">
                      <w:pPr>
                        <w:pStyle w:val="BoilerplateHeadline"/>
                      </w:pPr>
                      <w:r>
                        <w:rPr>
                          <w:lang w:val="nl-NL"/>
                        </w:rPr>
                        <w:t>Disclaimer</w:t>
                      </w:r>
                    </w:p>
                    <w:p w:rsidR="009E0001" w:rsidRDefault="009E0001" w:rsidP="009E0001">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9E0001" w:rsidRDefault="009E0001" w:rsidP="009E0001">
                      <w:pPr>
                        <w:pStyle w:val="BoilerplateHeadline"/>
                        <w:spacing w:after="60"/>
                      </w:pPr>
                      <w:r>
                        <w:rPr>
                          <w:lang w:val="nl-NL"/>
                        </w:rPr>
                        <w:t>Auteursrecht</w:t>
                      </w:r>
                    </w:p>
                    <w:p w:rsidR="009E0001" w:rsidRDefault="009E0001" w:rsidP="009E0001">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w:t>
                      </w:r>
                      <w:r w:rsidR="00CF1688">
                        <w:rPr>
                          <w:i/>
                          <w:iCs/>
                          <w:lang w:val="nl-NL"/>
                        </w:rPr>
                        <w:t xml:space="preserve"> </w:t>
                      </w:r>
                      <w:r>
                        <w:rPr>
                          <w:lang w:val="nl-NL"/>
                        </w:rPr>
                        <w:t xml:space="preserve">Toestemming voor reproductie van deze publicatie kunt u per e-mail aanvragen via guidance@theiia.org. </w:t>
                      </w:r>
                    </w:p>
                    <w:p w:rsidR="00E6381B" w:rsidRPr="00E6381B" w:rsidRDefault="00B5474D" w:rsidP="00E6381B"/>
                  </w:txbxContent>
                </v:textbox>
                <w10:wrap type="square" anchorx="margin" anchory="margin"/>
              </v:shape>
            </w:pict>
          </mc:Fallback>
        </mc:AlternateContent>
      </w:r>
    </w:p>
    <w:sectPr w:rsidR="006050F3" w:rsidRPr="008C463E" w:rsidSect="00893833">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17F" w:rsidRDefault="009E0001">
      <w:r>
        <w:separator/>
      </w:r>
    </w:p>
  </w:endnote>
  <w:endnote w:type="continuationSeparator" w:id="0">
    <w:p w:rsidR="00A3217F" w:rsidRDefault="009E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MT">
    <w:altName w:val="Arial"/>
    <w:charset w:val="00"/>
    <w:family w:val="auto"/>
    <w:pitch w:val="variable"/>
    <w:sig w:usb0="0000028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9E0001"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B5474D">
      <w:rPr>
        <w:rStyle w:val="Paginanummer"/>
        <w:noProof/>
        <w:color w:val="535953"/>
        <w:sz w:val="16"/>
        <w:szCs w:val="16"/>
      </w:rPr>
      <w:t>2</w:t>
    </w:r>
    <w:r w:rsidRPr="006227FD">
      <w:rPr>
        <w:rStyle w:val="Paginanummer"/>
        <w:color w:val="535953"/>
        <w:sz w:val="16"/>
        <w:szCs w:val="16"/>
      </w:rPr>
      <w:fldChar w:fldCharType="end"/>
    </w:r>
  </w:p>
  <w:p w:rsidR="00B01FFE" w:rsidRDefault="00B547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CF1688" w:rsidP="00893833">
    <w:pPr>
      <w:framePr w:wrap="around" w:vAnchor="text" w:hAnchor="page" w:x="6071" w:y="277"/>
      <w:rPr>
        <w:rStyle w:val="Paginanummer"/>
        <w:color w:val="535953"/>
        <w:sz w:val="16"/>
        <w:szCs w:val="16"/>
      </w:rPr>
    </w:pPr>
    <w:r>
      <w:rPr>
        <w:rStyle w:val="Paginanummer"/>
        <w:lang w:val="nl-NL"/>
      </w:rPr>
      <w:t xml:space="preserve"> </w:t>
    </w:r>
    <w:r w:rsidR="009E0001" w:rsidRPr="00893833">
      <w:rPr>
        <w:rStyle w:val="Paginanummer"/>
        <w:color w:val="535953"/>
        <w:sz w:val="16"/>
        <w:szCs w:val="16"/>
      </w:rPr>
      <w:fldChar w:fldCharType="begin"/>
    </w:r>
    <w:r w:rsidR="009E0001" w:rsidRPr="00893833">
      <w:rPr>
        <w:rStyle w:val="Paginanummer"/>
        <w:color w:val="535953"/>
        <w:sz w:val="16"/>
        <w:szCs w:val="16"/>
      </w:rPr>
      <w:instrText xml:space="preserve">PAGE  </w:instrText>
    </w:r>
    <w:r w:rsidR="009E0001" w:rsidRPr="00893833">
      <w:rPr>
        <w:rStyle w:val="Paginanummer"/>
        <w:color w:val="535953"/>
        <w:sz w:val="16"/>
        <w:szCs w:val="16"/>
      </w:rPr>
      <w:fldChar w:fldCharType="separate"/>
    </w:r>
    <w:r w:rsidR="00B5474D">
      <w:rPr>
        <w:rStyle w:val="Paginanummer"/>
        <w:noProof/>
        <w:color w:val="535953"/>
        <w:sz w:val="16"/>
        <w:szCs w:val="16"/>
      </w:rPr>
      <w:t>1</w:t>
    </w:r>
    <w:r w:rsidR="009E0001" w:rsidRPr="00893833">
      <w:rPr>
        <w:rStyle w:val="Paginanummer"/>
        <w:color w:val="535953"/>
        <w:sz w:val="16"/>
        <w:szCs w:val="16"/>
      </w:rPr>
      <w:fldChar w:fldCharType="end"/>
    </w:r>
  </w:p>
  <w:p w:rsidR="00B01FFE" w:rsidRDefault="00B54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17F" w:rsidRDefault="009E0001">
      <w:r>
        <w:separator/>
      </w:r>
    </w:p>
  </w:footnote>
  <w:footnote w:type="continuationSeparator" w:id="0">
    <w:p w:rsidR="00A3217F" w:rsidRDefault="009E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9E0001"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B547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9E0001">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1270"/>
              <wp:wrapThrough wrapText="bothSides">
                <wp:wrapPolygon edited="0">
                  <wp:start x="133" y="0"/>
                  <wp:lineTo x="133" y="20250"/>
                  <wp:lineTo x="21400" y="20250"/>
                  <wp:lineTo x="21400" y="0"/>
                  <wp:lineTo x="133"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01FFE" w:rsidRDefault="009E0001" w:rsidP="00853800">
                          <w:pPr>
                            <w:rPr>
                              <w:rFonts w:ascii="Arial" w:hAnsi="Arial" w:cs="Arial"/>
                              <w:color w:val="535953"/>
                            </w:rPr>
                          </w:pPr>
                          <w:r>
                            <w:rPr>
                              <w:rFonts w:ascii="Arial" w:hAnsi="Arial" w:cs="Arial"/>
                              <w:color w:val="0F1F4B"/>
                              <w:lang w:val="nl-NL"/>
                            </w:rPr>
                            <w:t xml:space="preserve">Implementatierichtlijn 2600 </w:t>
                          </w:r>
                          <w:r w:rsidR="00BE0CD8">
                            <w:rPr>
                              <w:rFonts w:ascii="Arial" w:hAnsi="Arial" w:cs="Arial"/>
                              <w:color w:val="3B95D9"/>
                              <w:lang w:val="nl-NL"/>
                            </w:rPr>
                            <w:t xml:space="preserve">- </w:t>
                          </w:r>
                          <w:r>
                            <w:rPr>
                              <w:rFonts w:ascii="Arial" w:hAnsi="Arial" w:cs="Arial"/>
                              <w:color w:val="535953"/>
                              <w:lang w:val="nl-NL"/>
                            </w:rPr>
                            <w:t>Communicatie van de risicoacceptatie</w:t>
                          </w:r>
                        </w:p>
                        <w:p w:rsidR="00853800" w:rsidRPr="006227FD" w:rsidRDefault="009E0001" w:rsidP="00853800">
                          <w:pPr>
                            <w:rPr>
                              <w:rFonts w:ascii="Arial" w:hAnsi="Arial" w:cs="Arial"/>
                              <w:color w:val="002239" w:themeColor="text2" w:themeShade="80"/>
                            </w:rPr>
                          </w:pPr>
                          <w:r>
                            <w:rPr>
                              <w:rFonts w:ascii="Arial" w:hAnsi="Arial" w:cs="Arial"/>
                              <w:color w:val="535953"/>
                              <w:lang w:val="nl-NL"/>
                            </w:rPr>
                            <w:t>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Default="009E0001" w:rsidP="00853800">
                    <w:pPr>
                      <w:rPr>
                        <w:rFonts w:ascii="Arial" w:hAnsi="Arial" w:cs="Arial"/>
                        <w:color w:val="535953"/>
                      </w:rPr>
                    </w:pPr>
                    <w:r>
                      <w:rPr>
                        <w:rFonts w:ascii="Arial" w:hAnsi="Arial" w:cs="Arial"/>
                        <w:color w:val="0F1F4B"/>
                        <w:lang w:val="nl-NL"/>
                      </w:rPr>
                      <w:t xml:space="preserve">Implementatierichtlijn 2600 </w:t>
                    </w:r>
                    <w:r w:rsidR="00BE0CD8">
                      <w:rPr>
                        <w:rFonts w:ascii="Arial" w:hAnsi="Arial" w:cs="Arial"/>
                        <w:color w:val="3B95D9"/>
                        <w:lang w:val="nl-NL"/>
                      </w:rPr>
                      <w:t xml:space="preserve">- </w:t>
                    </w:r>
                    <w:r>
                      <w:rPr>
                        <w:rFonts w:ascii="Arial" w:hAnsi="Arial" w:cs="Arial"/>
                        <w:color w:val="535953"/>
                        <w:lang w:val="nl-NL"/>
                      </w:rPr>
                      <w:t>Communicatie van de risicoacceptatie</w:t>
                    </w:r>
                  </w:p>
                  <w:p w:rsidR="00853800" w:rsidRPr="006227FD" w:rsidRDefault="009E0001" w:rsidP="00853800">
                    <w:pPr>
                      <w:rPr>
                        <w:rFonts w:ascii="Arial" w:hAnsi="Arial" w:cs="Arial"/>
                        <w:color w:val="002239" w:themeColor="text2" w:themeShade="80"/>
                      </w:rPr>
                    </w:pPr>
                    <w:r>
                      <w:rPr>
                        <w:rFonts w:ascii="Arial" w:hAnsi="Arial" w:cs="Arial"/>
                        <w:color w:val="535953"/>
                        <w:lang w:val="nl-NL"/>
                      </w:rPr>
                      <w:t>R</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9E0001">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C9C63048">
      <w:start w:val="1"/>
      <w:numFmt w:val="bullet"/>
      <w:lvlText w:val=""/>
      <w:lvlJc w:val="left"/>
      <w:pPr>
        <w:ind w:left="990" w:hanging="360"/>
      </w:pPr>
      <w:rPr>
        <w:rFonts w:ascii="Symbol" w:hAnsi="Symbol" w:hint="default"/>
        <w:color w:val="D32E30" w:themeColor="accent2"/>
      </w:rPr>
    </w:lvl>
    <w:lvl w:ilvl="1" w:tplc="B3704C54" w:tentative="1">
      <w:start w:val="1"/>
      <w:numFmt w:val="bullet"/>
      <w:lvlText w:val="o"/>
      <w:lvlJc w:val="left"/>
      <w:pPr>
        <w:ind w:left="1710" w:hanging="360"/>
      </w:pPr>
      <w:rPr>
        <w:rFonts w:ascii="Courier New" w:hAnsi="Courier New" w:hint="default"/>
      </w:rPr>
    </w:lvl>
    <w:lvl w:ilvl="2" w:tplc="9422688A" w:tentative="1">
      <w:start w:val="1"/>
      <w:numFmt w:val="bullet"/>
      <w:lvlText w:val=""/>
      <w:lvlJc w:val="left"/>
      <w:pPr>
        <w:ind w:left="2430" w:hanging="360"/>
      </w:pPr>
      <w:rPr>
        <w:rFonts w:ascii="Wingdings" w:hAnsi="Wingdings" w:hint="default"/>
      </w:rPr>
    </w:lvl>
    <w:lvl w:ilvl="3" w:tplc="F982905A" w:tentative="1">
      <w:start w:val="1"/>
      <w:numFmt w:val="bullet"/>
      <w:lvlText w:val=""/>
      <w:lvlJc w:val="left"/>
      <w:pPr>
        <w:ind w:left="3150" w:hanging="360"/>
      </w:pPr>
      <w:rPr>
        <w:rFonts w:ascii="Symbol" w:hAnsi="Symbol" w:hint="default"/>
      </w:rPr>
    </w:lvl>
    <w:lvl w:ilvl="4" w:tplc="653ADE78" w:tentative="1">
      <w:start w:val="1"/>
      <w:numFmt w:val="bullet"/>
      <w:lvlText w:val="o"/>
      <w:lvlJc w:val="left"/>
      <w:pPr>
        <w:ind w:left="3870" w:hanging="360"/>
      </w:pPr>
      <w:rPr>
        <w:rFonts w:ascii="Courier New" w:hAnsi="Courier New" w:hint="default"/>
      </w:rPr>
    </w:lvl>
    <w:lvl w:ilvl="5" w:tplc="5B5EBCAC" w:tentative="1">
      <w:start w:val="1"/>
      <w:numFmt w:val="bullet"/>
      <w:lvlText w:val=""/>
      <w:lvlJc w:val="left"/>
      <w:pPr>
        <w:ind w:left="4590" w:hanging="360"/>
      </w:pPr>
      <w:rPr>
        <w:rFonts w:ascii="Wingdings" w:hAnsi="Wingdings" w:hint="default"/>
      </w:rPr>
    </w:lvl>
    <w:lvl w:ilvl="6" w:tplc="81DA0456" w:tentative="1">
      <w:start w:val="1"/>
      <w:numFmt w:val="bullet"/>
      <w:lvlText w:val=""/>
      <w:lvlJc w:val="left"/>
      <w:pPr>
        <w:ind w:left="5310" w:hanging="360"/>
      </w:pPr>
      <w:rPr>
        <w:rFonts w:ascii="Symbol" w:hAnsi="Symbol" w:hint="default"/>
      </w:rPr>
    </w:lvl>
    <w:lvl w:ilvl="7" w:tplc="CFD2336E" w:tentative="1">
      <w:start w:val="1"/>
      <w:numFmt w:val="bullet"/>
      <w:lvlText w:val="o"/>
      <w:lvlJc w:val="left"/>
      <w:pPr>
        <w:ind w:left="6030" w:hanging="360"/>
      </w:pPr>
      <w:rPr>
        <w:rFonts w:ascii="Courier New" w:hAnsi="Courier New" w:hint="default"/>
      </w:rPr>
    </w:lvl>
    <w:lvl w:ilvl="8" w:tplc="579C5EF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180A9212">
      <w:start w:val="1"/>
      <w:numFmt w:val="bullet"/>
      <w:pStyle w:val="RedBullets"/>
      <w:lvlText w:val=""/>
      <w:lvlJc w:val="left"/>
      <w:pPr>
        <w:ind w:left="994" w:hanging="360"/>
      </w:pPr>
      <w:rPr>
        <w:rFonts w:ascii="Symbol" w:hAnsi="Symbol" w:hint="default"/>
        <w:color w:val="D32E30" w:themeColor="accent2"/>
      </w:rPr>
    </w:lvl>
    <w:lvl w:ilvl="1" w:tplc="214A76CC">
      <w:start w:val="1"/>
      <w:numFmt w:val="bullet"/>
      <w:lvlText w:val="o"/>
      <w:lvlJc w:val="left"/>
      <w:pPr>
        <w:ind w:left="1714" w:hanging="360"/>
      </w:pPr>
      <w:rPr>
        <w:rFonts w:ascii="Courier New" w:hAnsi="Courier New" w:hint="default"/>
      </w:rPr>
    </w:lvl>
    <w:lvl w:ilvl="2" w:tplc="146E055A" w:tentative="1">
      <w:start w:val="1"/>
      <w:numFmt w:val="bullet"/>
      <w:lvlText w:val=""/>
      <w:lvlJc w:val="left"/>
      <w:pPr>
        <w:ind w:left="2434" w:hanging="360"/>
      </w:pPr>
      <w:rPr>
        <w:rFonts w:ascii="Wingdings" w:hAnsi="Wingdings" w:hint="default"/>
      </w:rPr>
    </w:lvl>
    <w:lvl w:ilvl="3" w:tplc="A48C2330" w:tentative="1">
      <w:start w:val="1"/>
      <w:numFmt w:val="bullet"/>
      <w:lvlText w:val=""/>
      <w:lvlJc w:val="left"/>
      <w:pPr>
        <w:ind w:left="3154" w:hanging="360"/>
      </w:pPr>
      <w:rPr>
        <w:rFonts w:ascii="Symbol" w:hAnsi="Symbol" w:hint="default"/>
      </w:rPr>
    </w:lvl>
    <w:lvl w:ilvl="4" w:tplc="3AFC41FC" w:tentative="1">
      <w:start w:val="1"/>
      <w:numFmt w:val="bullet"/>
      <w:lvlText w:val="o"/>
      <w:lvlJc w:val="left"/>
      <w:pPr>
        <w:ind w:left="3874" w:hanging="360"/>
      </w:pPr>
      <w:rPr>
        <w:rFonts w:ascii="Courier New" w:hAnsi="Courier New" w:hint="default"/>
      </w:rPr>
    </w:lvl>
    <w:lvl w:ilvl="5" w:tplc="C9C879F6" w:tentative="1">
      <w:start w:val="1"/>
      <w:numFmt w:val="bullet"/>
      <w:lvlText w:val=""/>
      <w:lvlJc w:val="left"/>
      <w:pPr>
        <w:ind w:left="4594" w:hanging="360"/>
      </w:pPr>
      <w:rPr>
        <w:rFonts w:ascii="Wingdings" w:hAnsi="Wingdings" w:hint="default"/>
      </w:rPr>
    </w:lvl>
    <w:lvl w:ilvl="6" w:tplc="437A217C" w:tentative="1">
      <w:start w:val="1"/>
      <w:numFmt w:val="bullet"/>
      <w:lvlText w:val=""/>
      <w:lvlJc w:val="left"/>
      <w:pPr>
        <w:ind w:left="5314" w:hanging="360"/>
      </w:pPr>
      <w:rPr>
        <w:rFonts w:ascii="Symbol" w:hAnsi="Symbol" w:hint="default"/>
      </w:rPr>
    </w:lvl>
    <w:lvl w:ilvl="7" w:tplc="F4F4E2C2" w:tentative="1">
      <w:start w:val="1"/>
      <w:numFmt w:val="bullet"/>
      <w:lvlText w:val="o"/>
      <w:lvlJc w:val="left"/>
      <w:pPr>
        <w:ind w:left="6034" w:hanging="360"/>
      </w:pPr>
      <w:rPr>
        <w:rFonts w:ascii="Courier New" w:hAnsi="Courier New" w:hint="default"/>
      </w:rPr>
    </w:lvl>
    <w:lvl w:ilvl="8" w:tplc="BF0222BA" w:tentative="1">
      <w:start w:val="1"/>
      <w:numFmt w:val="bullet"/>
      <w:lvlText w:val=""/>
      <w:lvlJc w:val="left"/>
      <w:pPr>
        <w:ind w:left="6754" w:hanging="360"/>
      </w:pPr>
      <w:rPr>
        <w:rFonts w:ascii="Wingdings" w:hAnsi="Wingdings" w:hint="default"/>
      </w:rPr>
    </w:lvl>
  </w:abstractNum>
  <w:abstractNum w:abstractNumId="2" w15:restartNumberingAfterBreak="0">
    <w:nsid w:val="25F84455"/>
    <w:multiLevelType w:val="hybridMultilevel"/>
    <w:tmpl w:val="808C1FA6"/>
    <w:lvl w:ilvl="0" w:tplc="45F2B574">
      <w:start w:val="1"/>
      <w:numFmt w:val="bullet"/>
      <w:lvlText w:val=""/>
      <w:lvlJc w:val="left"/>
      <w:pPr>
        <w:ind w:left="720" w:hanging="360"/>
      </w:pPr>
      <w:rPr>
        <w:rFonts w:ascii="Symbol" w:hAnsi="Symbol" w:hint="default"/>
      </w:rPr>
    </w:lvl>
    <w:lvl w:ilvl="1" w:tplc="AD869F50" w:tentative="1">
      <w:start w:val="1"/>
      <w:numFmt w:val="bullet"/>
      <w:lvlText w:val="o"/>
      <w:lvlJc w:val="left"/>
      <w:pPr>
        <w:ind w:left="1440" w:hanging="360"/>
      </w:pPr>
      <w:rPr>
        <w:rFonts w:ascii="Courier New" w:hAnsi="Courier New" w:cs="Courier New" w:hint="default"/>
      </w:rPr>
    </w:lvl>
    <w:lvl w:ilvl="2" w:tplc="3CDAED54" w:tentative="1">
      <w:start w:val="1"/>
      <w:numFmt w:val="bullet"/>
      <w:lvlText w:val=""/>
      <w:lvlJc w:val="left"/>
      <w:pPr>
        <w:ind w:left="2160" w:hanging="360"/>
      </w:pPr>
      <w:rPr>
        <w:rFonts w:ascii="Wingdings" w:hAnsi="Wingdings" w:hint="default"/>
      </w:rPr>
    </w:lvl>
    <w:lvl w:ilvl="3" w:tplc="44E0D87A" w:tentative="1">
      <w:start w:val="1"/>
      <w:numFmt w:val="bullet"/>
      <w:lvlText w:val=""/>
      <w:lvlJc w:val="left"/>
      <w:pPr>
        <w:ind w:left="2880" w:hanging="360"/>
      </w:pPr>
      <w:rPr>
        <w:rFonts w:ascii="Symbol" w:hAnsi="Symbol" w:hint="default"/>
      </w:rPr>
    </w:lvl>
    <w:lvl w:ilvl="4" w:tplc="49A4ADFE" w:tentative="1">
      <w:start w:val="1"/>
      <w:numFmt w:val="bullet"/>
      <w:lvlText w:val="o"/>
      <w:lvlJc w:val="left"/>
      <w:pPr>
        <w:ind w:left="3600" w:hanging="360"/>
      </w:pPr>
      <w:rPr>
        <w:rFonts w:ascii="Courier New" w:hAnsi="Courier New" w:cs="Courier New" w:hint="default"/>
      </w:rPr>
    </w:lvl>
    <w:lvl w:ilvl="5" w:tplc="95A2026E" w:tentative="1">
      <w:start w:val="1"/>
      <w:numFmt w:val="bullet"/>
      <w:lvlText w:val=""/>
      <w:lvlJc w:val="left"/>
      <w:pPr>
        <w:ind w:left="4320" w:hanging="360"/>
      </w:pPr>
      <w:rPr>
        <w:rFonts w:ascii="Wingdings" w:hAnsi="Wingdings" w:hint="default"/>
      </w:rPr>
    </w:lvl>
    <w:lvl w:ilvl="6" w:tplc="72B28188" w:tentative="1">
      <w:start w:val="1"/>
      <w:numFmt w:val="bullet"/>
      <w:lvlText w:val=""/>
      <w:lvlJc w:val="left"/>
      <w:pPr>
        <w:ind w:left="5040" w:hanging="360"/>
      </w:pPr>
      <w:rPr>
        <w:rFonts w:ascii="Symbol" w:hAnsi="Symbol" w:hint="default"/>
      </w:rPr>
    </w:lvl>
    <w:lvl w:ilvl="7" w:tplc="BBE86A30" w:tentative="1">
      <w:start w:val="1"/>
      <w:numFmt w:val="bullet"/>
      <w:lvlText w:val="o"/>
      <w:lvlJc w:val="left"/>
      <w:pPr>
        <w:ind w:left="5760" w:hanging="360"/>
      </w:pPr>
      <w:rPr>
        <w:rFonts w:ascii="Courier New" w:hAnsi="Courier New" w:cs="Courier New" w:hint="default"/>
      </w:rPr>
    </w:lvl>
    <w:lvl w:ilvl="8" w:tplc="50A66E06" w:tentative="1">
      <w:start w:val="1"/>
      <w:numFmt w:val="bullet"/>
      <w:lvlText w:val=""/>
      <w:lvlJc w:val="left"/>
      <w:pPr>
        <w:ind w:left="6480" w:hanging="360"/>
      </w:pPr>
      <w:rPr>
        <w:rFonts w:ascii="Wingdings" w:hAnsi="Wingdings" w:hint="default"/>
      </w:rPr>
    </w:lvl>
  </w:abstractNum>
  <w:abstractNum w:abstractNumId="3" w15:restartNumberingAfterBreak="0">
    <w:nsid w:val="2D3C215E"/>
    <w:multiLevelType w:val="hybridMultilevel"/>
    <w:tmpl w:val="746E2008"/>
    <w:lvl w:ilvl="0" w:tplc="84D2E672">
      <w:start w:val="1"/>
      <w:numFmt w:val="bullet"/>
      <w:lvlText w:val=""/>
      <w:lvlJc w:val="left"/>
      <w:pPr>
        <w:ind w:left="720" w:hanging="360"/>
      </w:pPr>
      <w:rPr>
        <w:rFonts w:ascii="Symbol" w:hAnsi="Symbol" w:hint="default"/>
        <w:color w:val="D32E30" w:themeColor="accent2"/>
      </w:rPr>
    </w:lvl>
    <w:lvl w:ilvl="1" w:tplc="54CC9E3E" w:tentative="1">
      <w:start w:val="1"/>
      <w:numFmt w:val="bullet"/>
      <w:lvlText w:val="o"/>
      <w:lvlJc w:val="left"/>
      <w:pPr>
        <w:ind w:left="1440" w:hanging="360"/>
      </w:pPr>
      <w:rPr>
        <w:rFonts w:ascii="Courier New" w:hAnsi="Courier New" w:cs="Courier New" w:hint="default"/>
      </w:rPr>
    </w:lvl>
    <w:lvl w:ilvl="2" w:tplc="3812804C" w:tentative="1">
      <w:start w:val="1"/>
      <w:numFmt w:val="bullet"/>
      <w:lvlText w:val=""/>
      <w:lvlJc w:val="left"/>
      <w:pPr>
        <w:ind w:left="2160" w:hanging="360"/>
      </w:pPr>
      <w:rPr>
        <w:rFonts w:ascii="Wingdings" w:hAnsi="Wingdings" w:hint="default"/>
      </w:rPr>
    </w:lvl>
    <w:lvl w:ilvl="3" w:tplc="7DCC6706" w:tentative="1">
      <w:start w:val="1"/>
      <w:numFmt w:val="bullet"/>
      <w:lvlText w:val=""/>
      <w:lvlJc w:val="left"/>
      <w:pPr>
        <w:ind w:left="2880" w:hanging="360"/>
      </w:pPr>
      <w:rPr>
        <w:rFonts w:ascii="Symbol" w:hAnsi="Symbol" w:hint="default"/>
      </w:rPr>
    </w:lvl>
    <w:lvl w:ilvl="4" w:tplc="D7EC2CE2" w:tentative="1">
      <w:start w:val="1"/>
      <w:numFmt w:val="bullet"/>
      <w:lvlText w:val="o"/>
      <w:lvlJc w:val="left"/>
      <w:pPr>
        <w:ind w:left="3600" w:hanging="360"/>
      </w:pPr>
      <w:rPr>
        <w:rFonts w:ascii="Courier New" w:hAnsi="Courier New" w:cs="Courier New" w:hint="default"/>
      </w:rPr>
    </w:lvl>
    <w:lvl w:ilvl="5" w:tplc="1DEAEAAA" w:tentative="1">
      <w:start w:val="1"/>
      <w:numFmt w:val="bullet"/>
      <w:lvlText w:val=""/>
      <w:lvlJc w:val="left"/>
      <w:pPr>
        <w:ind w:left="4320" w:hanging="360"/>
      </w:pPr>
      <w:rPr>
        <w:rFonts w:ascii="Wingdings" w:hAnsi="Wingdings" w:hint="default"/>
      </w:rPr>
    </w:lvl>
    <w:lvl w:ilvl="6" w:tplc="2FF4FF92" w:tentative="1">
      <w:start w:val="1"/>
      <w:numFmt w:val="bullet"/>
      <w:lvlText w:val=""/>
      <w:lvlJc w:val="left"/>
      <w:pPr>
        <w:ind w:left="5040" w:hanging="360"/>
      </w:pPr>
      <w:rPr>
        <w:rFonts w:ascii="Symbol" w:hAnsi="Symbol" w:hint="default"/>
      </w:rPr>
    </w:lvl>
    <w:lvl w:ilvl="7" w:tplc="3C62D16E" w:tentative="1">
      <w:start w:val="1"/>
      <w:numFmt w:val="bullet"/>
      <w:lvlText w:val="o"/>
      <w:lvlJc w:val="left"/>
      <w:pPr>
        <w:ind w:left="5760" w:hanging="360"/>
      </w:pPr>
      <w:rPr>
        <w:rFonts w:ascii="Courier New" w:hAnsi="Courier New" w:cs="Courier New" w:hint="default"/>
      </w:rPr>
    </w:lvl>
    <w:lvl w:ilvl="8" w:tplc="0EC624BE" w:tentative="1">
      <w:start w:val="1"/>
      <w:numFmt w:val="bullet"/>
      <w:lvlText w:val=""/>
      <w:lvlJc w:val="left"/>
      <w:pPr>
        <w:ind w:left="6480" w:hanging="360"/>
      </w:pPr>
      <w:rPr>
        <w:rFonts w:ascii="Wingdings" w:hAnsi="Wingdings" w:hint="default"/>
      </w:rPr>
    </w:lvl>
  </w:abstractNum>
  <w:abstractNum w:abstractNumId="4" w15:restartNumberingAfterBreak="0">
    <w:nsid w:val="2D6F4698"/>
    <w:multiLevelType w:val="hybridMultilevel"/>
    <w:tmpl w:val="0712B664"/>
    <w:lvl w:ilvl="0" w:tplc="57DE6170">
      <w:start w:val="1"/>
      <w:numFmt w:val="bullet"/>
      <w:lvlText w:val=""/>
      <w:lvlJc w:val="left"/>
      <w:pPr>
        <w:ind w:left="720" w:hanging="360"/>
      </w:pPr>
      <w:rPr>
        <w:rFonts w:ascii="Symbol" w:hAnsi="Symbol" w:hint="default"/>
      </w:rPr>
    </w:lvl>
    <w:lvl w:ilvl="1" w:tplc="93827426" w:tentative="1">
      <w:start w:val="1"/>
      <w:numFmt w:val="bullet"/>
      <w:lvlText w:val="o"/>
      <w:lvlJc w:val="left"/>
      <w:pPr>
        <w:ind w:left="1440" w:hanging="360"/>
      </w:pPr>
      <w:rPr>
        <w:rFonts w:ascii="Courier New" w:hAnsi="Courier New" w:cs="Courier New" w:hint="default"/>
      </w:rPr>
    </w:lvl>
    <w:lvl w:ilvl="2" w:tplc="415E1278" w:tentative="1">
      <w:start w:val="1"/>
      <w:numFmt w:val="bullet"/>
      <w:lvlText w:val=""/>
      <w:lvlJc w:val="left"/>
      <w:pPr>
        <w:ind w:left="2160" w:hanging="360"/>
      </w:pPr>
      <w:rPr>
        <w:rFonts w:ascii="Wingdings" w:hAnsi="Wingdings" w:hint="default"/>
      </w:rPr>
    </w:lvl>
    <w:lvl w:ilvl="3" w:tplc="C16AB2DE" w:tentative="1">
      <w:start w:val="1"/>
      <w:numFmt w:val="bullet"/>
      <w:lvlText w:val=""/>
      <w:lvlJc w:val="left"/>
      <w:pPr>
        <w:ind w:left="2880" w:hanging="360"/>
      </w:pPr>
      <w:rPr>
        <w:rFonts w:ascii="Symbol" w:hAnsi="Symbol" w:hint="default"/>
      </w:rPr>
    </w:lvl>
    <w:lvl w:ilvl="4" w:tplc="972AC83A" w:tentative="1">
      <w:start w:val="1"/>
      <w:numFmt w:val="bullet"/>
      <w:lvlText w:val="o"/>
      <w:lvlJc w:val="left"/>
      <w:pPr>
        <w:ind w:left="3600" w:hanging="360"/>
      </w:pPr>
      <w:rPr>
        <w:rFonts w:ascii="Courier New" w:hAnsi="Courier New" w:cs="Courier New" w:hint="default"/>
      </w:rPr>
    </w:lvl>
    <w:lvl w:ilvl="5" w:tplc="D122A012" w:tentative="1">
      <w:start w:val="1"/>
      <w:numFmt w:val="bullet"/>
      <w:lvlText w:val=""/>
      <w:lvlJc w:val="left"/>
      <w:pPr>
        <w:ind w:left="4320" w:hanging="360"/>
      </w:pPr>
      <w:rPr>
        <w:rFonts w:ascii="Wingdings" w:hAnsi="Wingdings" w:hint="default"/>
      </w:rPr>
    </w:lvl>
    <w:lvl w:ilvl="6" w:tplc="73BA1EAA" w:tentative="1">
      <w:start w:val="1"/>
      <w:numFmt w:val="bullet"/>
      <w:lvlText w:val=""/>
      <w:lvlJc w:val="left"/>
      <w:pPr>
        <w:ind w:left="5040" w:hanging="360"/>
      </w:pPr>
      <w:rPr>
        <w:rFonts w:ascii="Symbol" w:hAnsi="Symbol" w:hint="default"/>
      </w:rPr>
    </w:lvl>
    <w:lvl w:ilvl="7" w:tplc="ABC2BEDC" w:tentative="1">
      <w:start w:val="1"/>
      <w:numFmt w:val="bullet"/>
      <w:lvlText w:val="o"/>
      <w:lvlJc w:val="left"/>
      <w:pPr>
        <w:ind w:left="5760" w:hanging="360"/>
      </w:pPr>
      <w:rPr>
        <w:rFonts w:ascii="Courier New" w:hAnsi="Courier New" w:cs="Courier New" w:hint="default"/>
      </w:rPr>
    </w:lvl>
    <w:lvl w:ilvl="8" w:tplc="72209D4A" w:tentative="1">
      <w:start w:val="1"/>
      <w:numFmt w:val="bullet"/>
      <w:lvlText w:val=""/>
      <w:lvlJc w:val="left"/>
      <w:pPr>
        <w:ind w:left="6480" w:hanging="360"/>
      </w:pPr>
      <w:rPr>
        <w:rFonts w:ascii="Wingdings" w:hAnsi="Wingdings" w:hint="default"/>
      </w:rPr>
    </w:lvl>
  </w:abstractNum>
  <w:abstractNum w:abstractNumId="5" w15:restartNumberingAfterBreak="0">
    <w:nsid w:val="2F727027"/>
    <w:multiLevelType w:val="hybridMultilevel"/>
    <w:tmpl w:val="9A92491A"/>
    <w:lvl w:ilvl="0" w:tplc="0B288020">
      <w:start w:val="1"/>
      <w:numFmt w:val="bullet"/>
      <w:lvlText w:val=""/>
      <w:lvlJc w:val="left"/>
      <w:pPr>
        <w:ind w:left="720" w:hanging="360"/>
      </w:pPr>
      <w:rPr>
        <w:rFonts w:ascii="Symbol" w:hAnsi="Symbol" w:hint="default"/>
        <w:color w:val="D32E30" w:themeColor="accent2"/>
      </w:rPr>
    </w:lvl>
    <w:lvl w:ilvl="1" w:tplc="EE9A2EC8" w:tentative="1">
      <w:start w:val="1"/>
      <w:numFmt w:val="bullet"/>
      <w:lvlText w:val="o"/>
      <w:lvlJc w:val="left"/>
      <w:pPr>
        <w:ind w:left="1440" w:hanging="360"/>
      </w:pPr>
      <w:rPr>
        <w:rFonts w:ascii="Courier New" w:hAnsi="Courier New" w:cs="Courier New" w:hint="default"/>
      </w:rPr>
    </w:lvl>
    <w:lvl w:ilvl="2" w:tplc="204C4E20" w:tentative="1">
      <w:start w:val="1"/>
      <w:numFmt w:val="bullet"/>
      <w:lvlText w:val=""/>
      <w:lvlJc w:val="left"/>
      <w:pPr>
        <w:ind w:left="2160" w:hanging="360"/>
      </w:pPr>
      <w:rPr>
        <w:rFonts w:ascii="Wingdings" w:hAnsi="Wingdings" w:hint="default"/>
      </w:rPr>
    </w:lvl>
    <w:lvl w:ilvl="3" w:tplc="AB986ED2" w:tentative="1">
      <w:start w:val="1"/>
      <w:numFmt w:val="bullet"/>
      <w:lvlText w:val=""/>
      <w:lvlJc w:val="left"/>
      <w:pPr>
        <w:ind w:left="2880" w:hanging="360"/>
      </w:pPr>
      <w:rPr>
        <w:rFonts w:ascii="Symbol" w:hAnsi="Symbol" w:hint="default"/>
      </w:rPr>
    </w:lvl>
    <w:lvl w:ilvl="4" w:tplc="D9E0EB0A" w:tentative="1">
      <w:start w:val="1"/>
      <w:numFmt w:val="bullet"/>
      <w:lvlText w:val="o"/>
      <w:lvlJc w:val="left"/>
      <w:pPr>
        <w:ind w:left="3600" w:hanging="360"/>
      </w:pPr>
      <w:rPr>
        <w:rFonts w:ascii="Courier New" w:hAnsi="Courier New" w:cs="Courier New" w:hint="default"/>
      </w:rPr>
    </w:lvl>
    <w:lvl w:ilvl="5" w:tplc="5C3281CC" w:tentative="1">
      <w:start w:val="1"/>
      <w:numFmt w:val="bullet"/>
      <w:lvlText w:val=""/>
      <w:lvlJc w:val="left"/>
      <w:pPr>
        <w:ind w:left="4320" w:hanging="360"/>
      </w:pPr>
      <w:rPr>
        <w:rFonts w:ascii="Wingdings" w:hAnsi="Wingdings" w:hint="default"/>
      </w:rPr>
    </w:lvl>
    <w:lvl w:ilvl="6" w:tplc="DDF81D12" w:tentative="1">
      <w:start w:val="1"/>
      <w:numFmt w:val="bullet"/>
      <w:lvlText w:val=""/>
      <w:lvlJc w:val="left"/>
      <w:pPr>
        <w:ind w:left="5040" w:hanging="360"/>
      </w:pPr>
      <w:rPr>
        <w:rFonts w:ascii="Symbol" w:hAnsi="Symbol" w:hint="default"/>
      </w:rPr>
    </w:lvl>
    <w:lvl w:ilvl="7" w:tplc="AD1A6C72" w:tentative="1">
      <w:start w:val="1"/>
      <w:numFmt w:val="bullet"/>
      <w:lvlText w:val="o"/>
      <w:lvlJc w:val="left"/>
      <w:pPr>
        <w:ind w:left="5760" w:hanging="360"/>
      </w:pPr>
      <w:rPr>
        <w:rFonts w:ascii="Courier New" w:hAnsi="Courier New" w:cs="Courier New" w:hint="default"/>
      </w:rPr>
    </w:lvl>
    <w:lvl w:ilvl="8" w:tplc="DD128EB4" w:tentative="1">
      <w:start w:val="1"/>
      <w:numFmt w:val="bullet"/>
      <w:lvlText w:val=""/>
      <w:lvlJc w:val="left"/>
      <w:pPr>
        <w:ind w:left="6480" w:hanging="360"/>
      </w:pPr>
      <w:rPr>
        <w:rFonts w:ascii="Wingdings" w:hAnsi="Wingdings" w:hint="default"/>
      </w:rPr>
    </w:lvl>
  </w:abstractNum>
  <w:abstractNum w:abstractNumId="6" w15:restartNumberingAfterBreak="0">
    <w:nsid w:val="327E59D3"/>
    <w:multiLevelType w:val="hybridMultilevel"/>
    <w:tmpl w:val="97D2F3F4"/>
    <w:lvl w:ilvl="0" w:tplc="79A424BA">
      <w:start w:val="1"/>
      <w:numFmt w:val="bullet"/>
      <w:lvlText w:val=""/>
      <w:lvlJc w:val="left"/>
      <w:pPr>
        <w:ind w:left="720" w:hanging="360"/>
      </w:pPr>
      <w:rPr>
        <w:rFonts w:ascii="Symbol" w:hAnsi="Symbol" w:hint="default"/>
        <w:color w:val="D32E30" w:themeColor="accent2"/>
      </w:rPr>
    </w:lvl>
    <w:lvl w:ilvl="1" w:tplc="5ACCDBC4" w:tentative="1">
      <w:start w:val="1"/>
      <w:numFmt w:val="bullet"/>
      <w:lvlText w:val="o"/>
      <w:lvlJc w:val="left"/>
      <w:pPr>
        <w:ind w:left="1170" w:hanging="360"/>
      </w:pPr>
      <w:rPr>
        <w:rFonts w:ascii="Courier New" w:hAnsi="Courier New" w:hint="default"/>
      </w:rPr>
    </w:lvl>
    <w:lvl w:ilvl="2" w:tplc="A96079EE" w:tentative="1">
      <w:start w:val="1"/>
      <w:numFmt w:val="bullet"/>
      <w:lvlText w:val=""/>
      <w:lvlJc w:val="left"/>
      <w:pPr>
        <w:ind w:left="1890" w:hanging="360"/>
      </w:pPr>
      <w:rPr>
        <w:rFonts w:ascii="Wingdings" w:hAnsi="Wingdings" w:hint="default"/>
      </w:rPr>
    </w:lvl>
    <w:lvl w:ilvl="3" w:tplc="27BEF6B2" w:tentative="1">
      <w:start w:val="1"/>
      <w:numFmt w:val="bullet"/>
      <w:lvlText w:val=""/>
      <w:lvlJc w:val="left"/>
      <w:pPr>
        <w:ind w:left="2610" w:hanging="360"/>
      </w:pPr>
      <w:rPr>
        <w:rFonts w:ascii="Symbol" w:hAnsi="Symbol" w:hint="default"/>
      </w:rPr>
    </w:lvl>
    <w:lvl w:ilvl="4" w:tplc="952E7546" w:tentative="1">
      <w:start w:val="1"/>
      <w:numFmt w:val="bullet"/>
      <w:lvlText w:val="o"/>
      <w:lvlJc w:val="left"/>
      <w:pPr>
        <w:ind w:left="3330" w:hanging="360"/>
      </w:pPr>
      <w:rPr>
        <w:rFonts w:ascii="Courier New" w:hAnsi="Courier New" w:hint="default"/>
      </w:rPr>
    </w:lvl>
    <w:lvl w:ilvl="5" w:tplc="5FF0E548" w:tentative="1">
      <w:start w:val="1"/>
      <w:numFmt w:val="bullet"/>
      <w:lvlText w:val=""/>
      <w:lvlJc w:val="left"/>
      <w:pPr>
        <w:ind w:left="4050" w:hanging="360"/>
      </w:pPr>
      <w:rPr>
        <w:rFonts w:ascii="Wingdings" w:hAnsi="Wingdings" w:hint="default"/>
      </w:rPr>
    </w:lvl>
    <w:lvl w:ilvl="6" w:tplc="8AB0EBCE" w:tentative="1">
      <w:start w:val="1"/>
      <w:numFmt w:val="bullet"/>
      <w:lvlText w:val=""/>
      <w:lvlJc w:val="left"/>
      <w:pPr>
        <w:ind w:left="4770" w:hanging="360"/>
      </w:pPr>
      <w:rPr>
        <w:rFonts w:ascii="Symbol" w:hAnsi="Symbol" w:hint="default"/>
      </w:rPr>
    </w:lvl>
    <w:lvl w:ilvl="7" w:tplc="C8B2FEB0" w:tentative="1">
      <w:start w:val="1"/>
      <w:numFmt w:val="bullet"/>
      <w:lvlText w:val="o"/>
      <w:lvlJc w:val="left"/>
      <w:pPr>
        <w:ind w:left="5490" w:hanging="360"/>
      </w:pPr>
      <w:rPr>
        <w:rFonts w:ascii="Courier New" w:hAnsi="Courier New" w:hint="default"/>
      </w:rPr>
    </w:lvl>
    <w:lvl w:ilvl="8" w:tplc="537AD406" w:tentative="1">
      <w:start w:val="1"/>
      <w:numFmt w:val="bullet"/>
      <w:lvlText w:val=""/>
      <w:lvlJc w:val="left"/>
      <w:pPr>
        <w:ind w:left="6210" w:hanging="360"/>
      </w:pPr>
      <w:rPr>
        <w:rFonts w:ascii="Wingdings" w:hAnsi="Wingdings" w:hint="default"/>
      </w:rPr>
    </w:lvl>
  </w:abstractNum>
  <w:abstractNum w:abstractNumId="7" w15:restartNumberingAfterBreak="0">
    <w:nsid w:val="3AE52881"/>
    <w:multiLevelType w:val="hybridMultilevel"/>
    <w:tmpl w:val="477CC3FE"/>
    <w:lvl w:ilvl="0" w:tplc="64C0B250">
      <w:start w:val="1"/>
      <w:numFmt w:val="bullet"/>
      <w:lvlText w:val=""/>
      <w:lvlJc w:val="left"/>
      <w:pPr>
        <w:ind w:left="720" w:hanging="360"/>
      </w:pPr>
      <w:rPr>
        <w:rFonts w:ascii="Symbol" w:hAnsi="Symbol" w:hint="default"/>
        <w:u w:color="D32E30"/>
      </w:rPr>
    </w:lvl>
    <w:lvl w:ilvl="1" w:tplc="53F8AB58" w:tentative="1">
      <w:start w:val="1"/>
      <w:numFmt w:val="bullet"/>
      <w:lvlText w:val="o"/>
      <w:lvlJc w:val="left"/>
      <w:pPr>
        <w:ind w:left="1440" w:hanging="360"/>
      </w:pPr>
      <w:rPr>
        <w:rFonts w:ascii="Courier New" w:hAnsi="Courier New" w:cs="Courier New" w:hint="default"/>
      </w:rPr>
    </w:lvl>
    <w:lvl w:ilvl="2" w:tplc="F55C92C6" w:tentative="1">
      <w:start w:val="1"/>
      <w:numFmt w:val="bullet"/>
      <w:lvlText w:val=""/>
      <w:lvlJc w:val="left"/>
      <w:pPr>
        <w:ind w:left="2160" w:hanging="360"/>
      </w:pPr>
      <w:rPr>
        <w:rFonts w:ascii="Wingdings" w:hAnsi="Wingdings" w:hint="default"/>
      </w:rPr>
    </w:lvl>
    <w:lvl w:ilvl="3" w:tplc="4968813C" w:tentative="1">
      <w:start w:val="1"/>
      <w:numFmt w:val="bullet"/>
      <w:lvlText w:val=""/>
      <w:lvlJc w:val="left"/>
      <w:pPr>
        <w:ind w:left="2880" w:hanging="360"/>
      </w:pPr>
      <w:rPr>
        <w:rFonts w:ascii="Symbol" w:hAnsi="Symbol" w:hint="default"/>
      </w:rPr>
    </w:lvl>
    <w:lvl w:ilvl="4" w:tplc="44FE5122" w:tentative="1">
      <w:start w:val="1"/>
      <w:numFmt w:val="bullet"/>
      <w:lvlText w:val="o"/>
      <w:lvlJc w:val="left"/>
      <w:pPr>
        <w:ind w:left="3600" w:hanging="360"/>
      </w:pPr>
      <w:rPr>
        <w:rFonts w:ascii="Courier New" w:hAnsi="Courier New" w:cs="Courier New" w:hint="default"/>
      </w:rPr>
    </w:lvl>
    <w:lvl w:ilvl="5" w:tplc="F304A166" w:tentative="1">
      <w:start w:val="1"/>
      <w:numFmt w:val="bullet"/>
      <w:lvlText w:val=""/>
      <w:lvlJc w:val="left"/>
      <w:pPr>
        <w:ind w:left="4320" w:hanging="360"/>
      </w:pPr>
      <w:rPr>
        <w:rFonts w:ascii="Wingdings" w:hAnsi="Wingdings" w:hint="default"/>
      </w:rPr>
    </w:lvl>
    <w:lvl w:ilvl="6" w:tplc="45DC8736" w:tentative="1">
      <w:start w:val="1"/>
      <w:numFmt w:val="bullet"/>
      <w:lvlText w:val=""/>
      <w:lvlJc w:val="left"/>
      <w:pPr>
        <w:ind w:left="5040" w:hanging="360"/>
      </w:pPr>
      <w:rPr>
        <w:rFonts w:ascii="Symbol" w:hAnsi="Symbol" w:hint="default"/>
      </w:rPr>
    </w:lvl>
    <w:lvl w:ilvl="7" w:tplc="C7E2AF04" w:tentative="1">
      <w:start w:val="1"/>
      <w:numFmt w:val="bullet"/>
      <w:lvlText w:val="o"/>
      <w:lvlJc w:val="left"/>
      <w:pPr>
        <w:ind w:left="5760" w:hanging="360"/>
      </w:pPr>
      <w:rPr>
        <w:rFonts w:ascii="Courier New" w:hAnsi="Courier New" w:cs="Courier New" w:hint="default"/>
      </w:rPr>
    </w:lvl>
    <w:lvl w:ilvl="8" w:tplc="A610460C" w:tentative="1">
      <w:start w:val="1"/>
      <w:numFmt w:val="bullet"/>
      <w:lvlText w:val=""/>
      <w:lvlJc w:val="left"/>
      <w:pPr>
        <w:ind w:left="6480" w:hanging="360"/>
      </w:pPr>
      <w:rPr>
        <w:rFonts w:ascii="Wingdings" w:hAnsi="Wingdings" w:hint="default"/>
      </w:rPr>
    </w:lvl>
  </w:abstractNum>
  <w:abstractNum w:abstractNumId="8" w15:restartNumberingAfterBreak="0">
    <w:nsid w:val="3E4C1C99"/>
    <w:multiLevelType w:val="hybridMultilevel"/>
    <w:tmpl w:val="817CEF88"/>
    <w:lvl w:ilvl="0" w:tplc="F4C4B370">
      <w:start w:val="1"/>
      <w:numFmt w:val="bullet"/>
      <w:lvlText w:val=""/>
      <w:lvlJc w:val="left"/>
      <w:pPr>
        <w:ind w:left="720" w:hanging="360"/>
      </w:pPr>
      <w:rPr>
        <w:rFonts w:ascii="Symbol" w:hAnsi="Symbol" w:hint="default"/>
      </w:rPr>
    </w:lvl>
    <w:lvl w:ilvl="1" w:tplc="5B7C3FD0" w:tentative="1">
      <w:start w:val="1"/>
      <w:numFmt w:val="bullet"/>
      <w:lvlText w:val="o"/>
      <w:lvlJc w:val="left"/>
      <w:pPr>
        <w:ind w:left="1440" w:hanging="360"/>
      </w:pPr>
      <w:rPr>
        <w:rFonts w:ascii="Courier New" w:hAnsi="Courier New" w:cs="Courier New" w:hint="default"/>
      </w:rPr>
    </w:lvl>
    <w:lvl w:ilvl="2" w:tplc="9B98A4F0" w:tentative="1">
      <w:start w:val="1"/>
      <w:numFmt w:val="bullet"/>
      <w:lvlText w:val=""/>
      <w:lvlJc w:val="left"/>
      <w:pPr>
        <w:ind w:left="2160" w:hanging="360"/>
      </w:pPr>
      <w:rPr>
        <w:rFonts w:ascii="Wingdings" w:hAnsi="Wingdings" w:hint="default"/>
      </w:rPr>
    </w:lvl>
    <w:lvl w:ilvl="3" w:tplc="3204321A" w:tentative="1">
      <w:start w:val="1"/>
      <w:numFmt w:val="bullet"/>
      <w:lvlText w:val=""/>
      <w:lvlJc w:val="left"/>
      <w:pPr>
        <w:ind w:left="2880" w:hanging="360"/>
      </w:pPr>
      <w:rPr>
        <w:rFonts w:ascii="Symbol" w:hAnsi="Symbol" w:hint="default"/>
      </w:rPr>
    </w:lvl>
    <w:lvl w:ilvl="4" w:tplc="7B9460FA" w:tentative="1">
      <w:start w:val="1"/>
      <w:numFmt w:val="bullet"/>
      <w:lvlText w:val="o"/>
      <w:lvlJc w:val="left"/>
      <w:pPr>
        <w:ind w:left="3600" w:hanging="360"/>
      </w:pPr>
      <w:rPr>
        <w:rFonts w:ascii="Courier New" w:hAnsi="Courier New" w:cs="Courier New" w:hint="default"/>
      </w:rPr>
    </w:lvl>
    <w:lvl w:ilvl="5" w:tplc="F62CBB76" w:tentative="1">
      <w:start w:val="1"/>
      <w:numFmt w:val="bullet"/>
      <w:lvlText w:val=""/>
      <w:lvlJc w:val="left"/>
      <w:pPr>
        <w:ind w:left="4320" w:hanging="360"/>
      </w:pPr>
      <w:rPr>
        <w:rFonts w:ascii="Wingdings" w:hAnsi="Wingdings" w:hint="default"/>
      </w:rPr>
    </w:lvl>
    <w:lvl w:ilvl="6" w:tplc="22E2811E" w:tentative="1">
      <w:start w:val="1"/>
      <w:numFmt w:val="bullet"/>
      <w:lvlText w:val=""/>
      <w:lvlJc w:val="left"/>
      <w:pPr>
        <w:ind w:left="5040" w:hanging="360"/>
      </w:pPr>
      <w:rPr>
        <w:rFonts w:ascii="Symbol" w:hAnsi="Symbol" w:hint="default"/>
      </w:rPr>
    </w:lvl>
    <w:lvl w:ilvl="7" w:tplc="D7B499E6" w:tentative="1">
      <w:start w:val="1"/>
      <w:numFmt w:val="bullet"/>
      <w:lvlText w:val="o"/>
      <w:lvlJc w:val="left"/>
      <w:pPr>
        <w:ind w:left="5760" w:hanging="360"/>
      </w:pPr>
      <w:rPr>
        <w:rFonts w:ascii="Courier New" w:hAnsi="Courier New" w:cs="Courier New" w:hint="default"/>
      </w:rPr>
    </w:lvl>
    <w:lvl w:ilvl="8" w:tplc="A2447FC2" w:tentative="1">
      <w:start w:val="1"/>
      <w:numFmt w:val="bullet"/>
      <w:lvlText w:val=""/>
      <w:lvlJc w:val="left"/>
      <w:pPr>
        <w:ind w:left="6480" w:hanging="360"/>
      </w:pPr>
      <w:rPr>
        <w:rFonts w:ascii="Wingdings" w:hAnsi="Wingdings" w:hint="default"/>
      </w:rPr>
    </w:lvl>
  </w:abstractNum>
  <w:abstractNum w:abstractNumId="9" w15:restartNumberingAfterBreak="0">
    <w:nsid w:val="781E646E"/>
    <w:multiLevelType w:val="hybridMultilevel"/>
    <w:tmpl w:val="1FFA2C46"/>
    <w:lvl w:ilvl="0" w:tplc="D5C22ECC">
      <w:start w:val="1"/>
      <w:numFmt w:val="bullet"/>
      <w:lvlText w:val=""/>
      <w:lvlJc w:val="left"/>
      <w:pPr>
        <w:ind w:left="720" w:hanging="360"/>
      </w:pPr>
      <w:rPr>
        <w:rFonts w:ascii="Symbol" w:hAnsi="Symbol" w:hint="default"/>
        <w:color w:val="auto"/>
      </w:rPr>
    </w:lvl>
    <w:lvl w:ilvl="1" w:tplc="B2504814" w:tentative="1">
      <w:start w:val="1"/>
      <w:numFmt w:val="bullet"/>
      <w:lvlText w:val="o"/>
      <w:lvlJc w:val="left"/>
      <w:pPr>
        <w:ind w:left="1440" w:hanging="360"/>
      </w:pPr>
      <w:rPr>
        <w:rFonts w:ascii="Courier New" w:hAnsi="Courier New" w:cs="Courier New" w:hint="default"/>
      </w:rPr>
    </w:lvl>
    <w:lvl w:ilvl="2" w:tplc="73FE6BF6" w:tentative="1">
      <w:start w:val="1"/>
      <w:numFmt w:val="bullet"/>
      <w:lvlText w:val=""/>
      <w:lvlJc w:val="left"/>
      <w:pPr>
        <w:ind w:left="2160" w:hanging="360"/>
      </w:pPr>
      <w:rPr>
        <w:rFonts w:ascii="Wingdings" w:hAnsi="Wingdings" w:hint="default"/>
      </w:rPr>
    </w:lvl>
    <w:lvl w:ilvl="3" w:tplc="190890CE" w:tentative="1">
      <w:start w:val="1"/>
      <w:numFmt w:val="bullet"/>
      <w:lvlText w:val=""/>
      <w:lvlJc w:val="left"/>
      <w:pPr>
        <w:ind w:left="2880" w:hanging="360"/>
      </w:pPr>
      <w:rPr>
        <w:rFonts w:ascii="Symbol" w:hAnsi="Symbol" w:hint="default"/>
      </w:rPr>
    </w:lvl>
    <w:lvl w:ilvl="4" w:tplc="AC0E22E4" w:tentative="1">
      <w:start w:val="1"/>
      <w:numFmt w:val="bullet"/>
      <w:lvlText w:val="o"/>
      <w:lvlJc w:val="left"/>
      <w:pPr>
        <w:ind w:left="3600" w:hanging="360"/>
      </w:pPr>
      <w:rPr>
        <w:rFonts w:ascii="Courier New" w:hAnsi="Courier New" w:cs="Courier New" w:hint="default"/>
      </w:rPr>
    </w:lvl>
    <w:lvl w:ilvl="5" w:tplc="0052B204" w:tentative="1">
      <w:start w:val="1"/>
      <w:numFmt w:val="bullet"/>
      <w:lvlText w:val=""/>
      <w:lvlJc w:val="left"/>
      <w:pPr>
        <w:ind w:left="4320" w:hanging="360"/>
      </w:pPr>
      <w:rPr>
        <w:rFonts w:ascii="Wingdings" w:hAnsi="Wingdings" w:hint="default"/>
      </w:rPr>
    </w:lvl>
    <w:lvl w:ilvl="6" w:tplc="C2084C38" w:tentative="1">
      <w:start w:val="1"/>
      <w:numFmt w:val="bullet"/>
      <w:lvlText w:val=""/>
      <w:lvlJc w:val="left"/>
      <w:pPr>
        <w:ind w:left="5040" w:hanging="360"/>
      </w:pPr>
      <w:rPr>
        <w:rFonts w:ascii="Symbol" w:hAnsi="Symbol" w:hint="default"/>
      </w:rPr>
    </w:lvl>
    <w:lvl w:ilvl="7" w:tplc="6F80DC12" w:tentative="1">
      <w:start w:val="1"/>
      <w:numFmt w:val="bullet"/>
      <w:lvlText w:val="o"/>
      <w:lvlJc w:val="left"/>
      <w:pPr>
        <w:ind w:left="5760" w:hanging="360"/>
      </w:pPr>
      <w:rPr>
        <w:rFonts w:ascii="Courier New" w:hAnsi="Courier New" w:cs="Courier New" w:hint="default"/>
      </w:rPr>
    </w:lvl>
    <w:lvl w:ilvl="8" w:tplc="28EC4D60"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8"/>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9E0001"/>
    <w:rsid w:val="009E0001"/>
    <w:rsid w:val="00A3217F"/>
    <w:rsid w:val="00B5474D"/>
    <w:rsid w:val="00BE0CD8"/>
    <w:rsid w:val="00CF1688"/>
  </w:rsids>
  <m:mathPr>
    <m:mathFont m:val="Cambria Math"/>
    <m:brkBin m:val="before"/>
    <m:brkBinSub m:val="--"/>
    <m:smallFrac m:val="0"/>
    <m:dispDef m:val="0"/>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67B56A-12EF-450E-8EFC-CB15C6CD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04B1"/>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paragraph" w:styleId="Kop2">
    <w:name w:val="heading 2"/>
    <w:basedOn w:val="Standaard"/>
    <w:next w:val="Standaard"/>
    <w:link w:val="Kop2Char"/>
    <w:uiPriority w:val="9"/>
    <w:semiHidden/>
    <w:unhideWhenUsed/>
    <w:qFormat/>
    <w:rsid w:val="00A73913"/>
    <w:pPr>
      <w:keepNext/>
      <w:keepLines/>
      <w:spacing w:before="40"/>
      <w:outlineLvl w:val="1"/>
    </w:pPr>
    <w:rPr>
      <w:rFonts w:asciiTheme="majorHAnsi" w:eastAsiaTheme="majorEastAsia" w:hAnsiTheme="majorHAnsi" w:cstheme="majorBidi"/>
      <w:color w:val="006A9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E6381B"/>
    <w:pPr>
      <w:tabs>
        <w:tab w:val="center" w:pos="4320"/>
        <w:tab w:val="right" w:pos="8640"/>
      </w:tabs>
    </w:pPr>
  </w:style>
  <w:style w:type="character" w:customStyle="1" w:styleId="VoettekstChar">
    <w:name w:val="Voettekst Char"/>
    <w:basedOn w:val="Standaardalinea-lettertype"/>
    <w:link w:val="Voettekst"/>
    <w:uiPriority w:val="99"/>
    <w:rsid w:val="00E6381B"/>
  </w:style>
  <w:style w:type="paragraph" w:customStyle="1" w:styleId="BoilerplateHeadline">
    <w:name w:val="Boilerplate Headline"/>
    <w:basedOn w:val="Standaard"/>
    <w:uiPriority w:val="99"/>
    <w:rsid w:val="00E6381B"/>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TemplateBodyText"/>
    <w:uiPriority w:val="99"/>
    <w:rsid w:val="00E6381B"/>
    <w:pPr>
      <w:spacing w:line="288" w:lineRule="auto"/>
    </w:pPr>
    <w:rPr>
      <w:sz w:val="18"/>
      <w:szCs w:val="18"/>
    </w:rPr>
  </w:style>
  <w:style w:type="paragraph" w:styleId="Ballontekst">
    <w:name w:val="Balloon Text"/>
    <w:basedOn w:val="Standaard"/>
    <w:link w:val="BallontekstChar"/>
    <w:uiPriority w:val="99"/>
    <w:semiHidden/>
    <w:unhideWhenUsed/>
    <w:rsid w:val="0026012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0129"/>
    <w:rPr>
      <w:rFonts w:ascii="Segoe UI" w:hAnsi="Segoe UI" w:cs="Segoe UI"/>
      <w:sz w:val="18"/>
      <w:szCs w:val="18"/>
    </w:rPr>
  </w:style>
  <w:style w:type="paragraph" w:customStyle="1" w:styleId="Ig">
    <w:name w:val="Ig"/>
    <w:basedOn w:val="TemplateBodyText"/>
    <w:link w:val="IgChar"/>
    <w:qFormat/>
    <w:rsid w:val="004D5E7F"/>
    <w:pPr>
      <w:spacing w:line="288" w:lineRule="auto"/>
    </w:pPr>
    <w:rPr>
      <w:rFonts w:ascii="Arial" w:hAnsi="Arial" w:cs="Arial"/>
    </w:rPr>
  </w:style>
  <w:style w:type="paragraph" w:customStyle="1" w:styleId="IGbodytext">
    <w:name w:val="IG body text"/>
    <w:basedOn w:val="Ig"/>
    <w:link w:val="IGbodytextChar"/>
    <w:qFormat/>
    <w:rsid w:val="004D5E7F"/>
  </w:style>
  <w:style w:type="character" w:customStyle="1" w:styleId="TemplateBodyTextChar">
    <w:name w:val="Template Body Text Char"/>
    <w:basedOn w:val="PlattetekstChar"/>
    <w:link w:val="TemplateBodyText"/>
    <w:uiPriority w:val="99"/>
    <w:rsid w:val="004D5E7F"/>
    <w:rPr>
      <w:rFonts w:ascii="ArialMT" w:hAnsi="ArialMT" w:cs="ArialMT"/>
      <w:color w:val="000000"/>
    </w:rPr>
  </w:style>
  <w:style w:type="character" w:customStyle="1" w:styleId="IgChar">
    <w:name w:val="Ig Char"/>
    <w:basedOn w:val="TemplateBodyTextChar"/>
    <w:link w:val="Ig"/>
    <w:rsid w:val="004D5E7F"/>
    <w:rPr>
      <w:rFonts w:ascii="Arial" w:hAnsi="Arial" w:cs="Arial"/>
      <w:color w:val="000000"/>
    </w:rPr>
  </w:style>
  <w:style w:type="paragraph" w:customStyle="1" w:styleId="IGStandardheading">
    <w:name w:val="IG Standard heading"/>
    <w:basedOn w:val="TemplateBodyText"/>
    <w:link w:val="IGStandardheadingChar"/>
    <w:qFormat/>
    <w:rsid w:val="004D5E7F"/>
    <w:pPr>
      <w:spacing w:line="288" w:lineRule="auto"/>
    </w:pPr>
    <w:rPr>
      <w:color w:val="000065"/>
      <w:sz w:val="36"/>
      <w:szCs w:val="36"/>
    </w:rPr>
  </w:style>
  <w:style w:type="character" w:customStyle="1" w:styleId="IGbodytextChar">
    <w:name w:val="IG body text Char"/>
    <w:basedOn w:val="IgChar"/>
    <w:link w:val="IGbodytext"/>
    <w:rsid w:val="004D5E7F"/>
    <w:rPr>
      <w:rFonts w:ascii="Arial" w:hAnsi="Arial" w:cs="Arial"/>
      <w:color w:val="000000"/>
    </w:rPr>
  </w:style>
  <w:style w:type="paragraph" w:customStyle="1" w:styleId="IGStandardbody">
    <w:name w:val="IG Standard body"/>
    <w:basedOn w:val="TemplateBodyText"/>
    <w:link w:val="IGStandardbodyChar"/>
    <w:qFormat/>
    <w:rsid w:val="004D5E7F"/>
    <w:pPr>
      <w:spacing w:line="288" w:lineRule="auto"/>
    </w:pPr>
  </w:style>
  <w:style w:type="character" w:customStyle="1" w:styleId="IGStandardheadingChar">
    <w:name w:val="IG Standard heading Char"/>
    <w:basedOn w:val="TemplateBodyTextChar"/>
    <w:link w:val="IGStandardheading"/>
    <w:rsid w:val="004D5E7F"/>
    <w:rPr>
      <w:rFonts w:ascii="ArialMT" w:hAnsi="ArialMT" w:cs="ArialMT"/>
      <w:color w:val="000065"/>
      <w:sz w:val="36"/>
      <w:szCs w:val="36"/>
    </w:rPr>
  </w:style>
  <w:style w:type="paragraph" w:customStyle="1" w:styleId="IGStandardinterpretationbody">
    <w:name w:val="IG Standard interpretation body"/>
    <w:basedOn w:val="TemplateBodyText"/>
    <w:link w:val="IGStandardinterpretationbodyChar"/>
    <w:qFormat/>
    <w:rsid w:val="004D5E7F"/>
    <w:pPr>
      <w:spacing w:line="288" w:lineRule="auto"/>
    </w:pPr>
    <w:rPr>
      <w:i/>
    </w:rPr>
  </w:style>
  <w:style w:type="character" w:customStyle="1" w:styleId="IGStandardbodyChar">
    <w:name w:val="IG Standard body Char"/>
    <w:basedOn w:val="TemplateBodyTextChar"/>
    <w:link w:val="IGStandardbody"/>
    <w:rsid w:val="004D5E7F"/>
    <w:rPr>
      <w:rFonts w:ascii="ArialMT" w:hAnsi="ArialMT" w:cs="ArialMT"/>
      <w:color w:val="000000"/>
    </w:rPr>
  </w:style>
  <w:style w:type="character" w:customStyle="1" w:styleId="IGStandardinterpretationbodyChar">
    <w:name w:val="IG Standard interpretation body Char"/>
    <w:basedOn w:val="TemplateBodyTextChar"/>
    <w:link w:val="IGStandardinterpretationbody"/>
    <w:rsid w:val="004D5E7F"/>
    <w:rPr>
      <w:rFonts w:ascii="ArialMT" w:hAnsi="ArialMT" w:cs="ArialMT"/>
      <w:i/>
      <w:color w:val="000000"/>
    </w:rPr>
  </w:style>
  <w:style w:type="paragraph" w:styleId="Lijstalinea">
    <w:name w:val="List Paragraph"/>
    <w:basedOn w:val="Standaard"/>
    <w:uiPriority w:val="34"/>
    <w:qFormat/>
    <w:rsid w:val="00A359AE"/>
    <w:pPr>
      <w:spacing w:after="180" w:line="288" w:lineRule="auto"/>
      <w:ind w:left="720"/>
      <w:contextualSpacing/>
    </w:pPr>
    <w:rPr>
      <w:rFonts w:eastAsiaTheme="minorHAnsi"/>
      <w:sz w:val="22"/>
      <w:szCs w:val="22"/>
    </w:rPr>
  </w:style>
  <w:style w:type="character" w:styleId="Verwijzingopmerking">
    <w:name w:val="annotation reference"/>
    <w:basedOn w:val="Standaardalinea-lettertype"/>
    <w:uiPriority w:val="99"/>
    <w:semiHidden/>
    <w:unhideWhenUsed/>
    <w:rsid w:val="005F79F9"/>
    <w:rPr>
      <w:sz w:val="16"/>
      <w:szCs w:val="16"/>
    </w:rPr>
  </w:style>
  <w:style w:type="paragraph" w:styleId="Tekstopmerking">
    <w:name w:val="annotation text"/>
    <w:basedOn w:val="Standaard"/>
    <w:link w:val="TekstopmerkingChar"/>
    <w:uiPriority w:val="99"/>
    <w:semiHidden/>
    <w:unhideWhenUsed/>
    <w:rsid w:val="005F79F9"/>
    <w:rPr>
      <w:sz w:val="20"/>
      <w:szCs w:val="20"/>
    </w:rPr>
  </w:style>
  <w:style w:type="character" w:customStyle="1" w:styleId="TekstopmerkingChar">
    <w:name w:val="Tekst opmerking Char"/>
    <w:basedOn w:val="Standaardalinea-lettertype"/>
    <w:link w:val="Tekstopmerking"/>
    <w:uiPriority w:val="99"/>
    <w:semiHidden/>
    <w:rsid w:val="005F79F9"/>
    <w:rPr>
      <w:sz w:val="20"/>
      <w:szCs w:val="20"/>
    </w:rPr>
  </w:style>
  <w:style w:type="paragraph" w:styleId="Onderwerpvanopmerking">
    <w:name w:val="annotation subject"/>
    <w:basedOn w:val="Tekstopmerking"/>
    <w:next w:val="Tekstopmerking"/>
    <w:link w:val="OnderwerpvanopmerkingChar"/>
    <w:uiPriority w:val="99"/>
    <w:semiHidden/>
    <w:unhideWhenUsed/>
    <w:rsid w:val="005F79F9"/>
    <w:rPr>
      <w:b/>
      <w:bCs/>
    </w:rPr>
  </w:style>
  <w:style w:type="character" w:customStyle="1" w:styleId="OnderwerpvanopmerkingChar">
    <w:name w:val="Onderwerp van opmerking Char"/>
    <w:basedOn w:val="TekstopmerkingChar"/>
    <w:link w:val="Onderwerpvanopmerking"/>
    <w:uiPriority w:val="99"/>
    <w:semiHidden/>
    <w:rsid w:val="005F79F9"/>
    <w:rPr>
      <w:b/>
      <w:bCs/>
      <w:sz w:val="20"/>
      <w:szCs w:val="20"/>
    </w:rPr>
  </w:style>
  <w:style w:type="character" w:customStyle="1" w:styleId="Kop2Char">
    <w:name w:val="Kop 2 Char"/>
    <w:basedOn w:val="Standaardalinea-lettertype"/>
    <w:link w:val="Kop2"/>
    <w:uiPriority w:val="9"/>
    <w:semiHidden/>
    <w:rsid w:val="00A73913"/>
    <w:rPr>
      <w:rFonts w:asciiTheme="majorHAnsi" w:eastAsiaTheme="majorEastAsia" w:hAnsiTheme="majorHAnsi" w:cstheme="majorBidi"/>
      <w:color w:val="006A9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0AD14-675F-4FD2-B760-D2A871558CD7}">
  <ds:schemaRefs>
    <ds:schemaRef ds:uri="http://schemas.openxmlformats.org/officeDocument/2006/bibliography"/>
  </ds:schemaRefs>
</ds:datastoreItem>
</file>

<file path=customXml/itemProps2.xml><?xml version="1.0" encoding="utf-8"?>
<ds:datastoreItem xmlns:ds="http://schemas.openxmlformats.org/officeDocument/2006/customXml" ds:itemID="{B6B54EAC-A079-413D-8ECC-9689F8130F2A}"/>
</file>

<file path=customXml/itemProps3.xml><?xml version="1.0" encoding="utf-8"?>
<ds:datastoreItem xmlns:ds="http://schemas.openxmlformats.org/officeDocument/2006/customXml" ds:itemID="{22774E6B-F329-4F0F-BF2E-53A9FAB5A7BF}"/>
</file>

<file path=customXml/itemProps4.xml><?xml version="1.0" encoding="utf-8"?>
<ds:datastoreItem xmlns:ds="http://schemas.openxmlformats.org/officeDocument/2006/customXml" ds:itemID="{95DD00A6-C137-47D7-B107-113D7B2DD3FF}"/>
</file>

<file path=docProps/app.xml><?xml version="1.0" encoding="utf-8"?>
<Properties xmlns="http://schemas.openxmlformats.org/officeDocument/2006/extended-properties" xmlns:vt="http://schemas.openxmlformats.org/officeDocument/2006/docPropsVTypes">
  <Template>EE8885E1</Template>
  <TotalTime>4</TotalTime>
  <Pages>4</Pages>
  <Words>908</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Peters</dc:creator>
  <cp:lastModifiedBy>Linda Poort</cp:lastModifiedBy>
  <cp:revision>7</cp:revision>
  <cp:lastPrinted>2015-06-18T18:38:00Z</cp:lastPrinted>
  <dcterms:created xsi:type="dcterms:W3CDTF">2016-11-18T19:13:00Z</dcterms:created>
  <dcterms:modified xsi:type="dcterms:W3CDTF">2017-08-21T14:20:00Z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