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877EB9" w:rsidRDefault="003411A0" w:rsidP="00FF046F">
      <w:pPr>
        <w:pStyle w:val="Geenafstand"/>
        <w:rPr>
          <w:rFonts w:cstheme="minorHAnsi"/>
          <w:lang w:val="nl-NL"/>
        </w:rPr>
      </w:pPr>
      <w:r w:rsidRPr="00877EB9">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1466850</wp:posOffset>
                </wp:positionV>
                <wp:extent cx="6400800" cy="59245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9245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8D1B9A">
                              <w:rPr>
                                <w:rFonts w:asciiTheme="majorHAnsi" w:hAnsiTheme="majorHAnsi" w:cstheme="majorHAnsi"/>
                                <w:lang w:val="nl-NL"/>
                              </w:rPr>
                              <w:t>1000</w:t>
                            </w:r>
                            <w:r w:rsidR="002F57B5" w:rsidRPr="00D24D8B">
                              <w:rPr>
                                <w:rFonts w:asciiTheme="majorHAnsi" w:hAnsiTheme="majorHAnsi" w:cstheme="majorHAnsi"/>
                                <w:lang w:val="nl-NL"/>
                              </w:rPr>
                              <w:t xml:space="preserve"> - </w:t>
                            </w:r>
                            <w:r w:rsidR="008D1B9A" w:rsidRPr="008D1B9A">
                              <w:rPr>
                                <w:rFonts w:asciiTheme="majorHAnsi" w:hAnsiTheme="majorHAnsi" w:cstheme="majorHAnsi"/>
                                <w:lang w:val="nl-NL"/>
                              </w:rPr>
                              <w:t>Doel, bevoegdheid en verantwoordelijkheid</w:t>
                            </w:r>
                          </w:p>
                          <w:p w:rsidR="00665553" w:rsidRPr="00877EB9" w:rsidRDefault="008D1B9A" w:rsidP="002F57B5">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sz w:val="22"/>
                                <w:szCs w:val="22"/>
                                <w:lang w:val="nl-NL"/>
                              </w:rPr>
                              <w:t xml:space="preserve">Het doel, de bevoegdheid en de verantwoordelijkheid van de internal-auditfunctie moeten formeel in een internal-auditcharter worden vastgelegd. Dit moet in overeenstemming zijn met de missie van internal auditing en de verplichte aspecten van het internationale raamwerk voor de beroepsuitoefening (de kernbeginselen van de beroepsuitoefening van internal auditing, de gedragscode, de </w:t>
                            </w:r>
                            <w:r w:rsidRPr="00BF3398">
                              <w:rPr>
                                <w:rFonts w:asciiTheme="majorHAnsi" w:hAnsiTheme="majorHAnsi" w:cstheme="majorHAnsi"/>
                                <w:i/>
                                <w:sz w:val="22"/>
                                <w:szCs w:val="22"/>
                                <w:lang w:val="nl-NL"/>
                              </w:rPr>
                              <w:t>Standaarden</w:t>
                            </w:r>
                            <w:r w:rsidRPr="00877EB9">
                              <w:rPr>
                                <w:rFonts w:asciiTheme="majorHAnsi" w:hAnsiTheme="majorHAnsi" w:cstheme="majorHAnsi"/>
                                <w:sz w:val="22"/>
                                <w:szCs w:val="22"/>
                                <w:lang w:val="nl-NL"/>
                              </w:rPr>
                              <w:t xml:space="preserve"> en de definitie van internal auditing). Het hoofd van de internal-auditfunctie moet periodiek het internal-auditcharter beoordelen en dit ter goedkeuring voorleggen aan het senior management en het bestuur</w:t>
                            </w:r>
                            <w:r w:rsidR="005A0CAD" w:rsidRPr="00877EB9">
                              <w:rPr>
                                <w:rFonts w:asciiTheme="majorHAnsi" w:hAnsiTheme="majorHAnsi" w:cstheme="majorHAnsi"/>
                                <w:sz w:val="22"/>
                                <w:szCs w:val="22"/>
                                <w:lang w:val="nl-NL"/>
                              </w:rPr>
                              <w:t>.</w:t>
                            </w:r>
                          </w:p>
                          <w:p w:rsidR="00A60C13" w:rsidRPr="00877EB9" w:rsidRDefault="00A60C13" w:rsidP="002F57B5">
                            <w:pPr>
                              <w:pStyle w:val="RedBullets"/>
                              <w:numPr>
                                <w:ilvl w:val="0"/>
                                <w:numId w:val="0"/>
                              </w:numPr>
                              <w:rPr>
                                <w:rFonts w:asciiTheme="majorHAnsi" w:hAnsiTheme="majorHAnsi" w:cstheme="majorHAnsi"/>
                                <w:sz w:val="22"/>
                                <w:szCs w:val="22"/>
                                <w:lang w:val="nl-NL"/>
                              </w:rPr>
                            </w:pPr>
                          </w:p>
                          <w:p w:rsidR="00A60C13" w:rsidRPr="00877EB9" w:rsidRDefault="00A60C13" w:rsidP="00A60C13">
                            <w:pPr>
                              <w:pStyle w:val="Kop2"/>
                              <w:rPr>
                                <w:b/>
                                <w:color w:val="auto"/>
                                <w:sz w:val="22"/>
                                <w:szCs w:val="22"/>
                                <w:lang w:val="nl-NL"/>
                              </w:rPr>
                            </w:pPr>
                            <w:r w:rsidRPr="00877EB9">
                              <w:rPr>
                                <w:b/>
                                <w:color w:val="auto"/>
                                <w:sz w:val="22"/>
                                <w:szCs w:val="22"/>
                                <w:lang w:val="nl-NL"/>
                              </w:rPr>
                              <w:t>Interpretatie:</w:t>
                            </w:r>
                          </w:p>
                          <w:p w:rsidR="00A03C2A" w:rsidRPr="00877EB9" w:rsidRDefault="00A03C2A" w:rsidP="00E659E4">
                            <w:pPr>
                              <w:pStyle w:val="Geenafstand"/>
                              <w:rPr>
                                <w:sz w:val="22"/>
                                <w:szCs w:val="22"/>
                                <w:lang w:val="nl-NL"/>
                              </w:rPr>
                            </w:pPr>
                          </w:p>
                          <w:p w:rsidR="002F57B5" w:rsidRPr="00877EB9" w:rsidRDefault="00A60C13" w:rsidP="002F57B5">
                            <w:pPr>
                              <w:pStyle w:val="RedBullets"/>
                              <w:numPr>
                                <w:ilvl w:val="0"/>
                                <w:numId w:val="0"/>
                              </w:numPr>
                              <w:rPr>
                                <w:rFonts w:asciiTheme="majorHAnsi" w:hAnsiTheme="majorHAnsi" w:cstheme="majorHAnsi"/>
                                <w:i/>
                                <w:sz w:val="22"/>
                                <w:szCs w:val="22"/>
                              </w:rPr>
                            </w:pPr>
                            <w:r w:rsidRPr="00877EB9">
                              <w:rPr>
                                <w:rFonts w:asciiTheme="majorHAnsi" w:hAnsiTheme="majorHAnsi" w:cstheme="majorHAnsi"/>
                                <w:i/>
                                <w:sz w:val="22"/>
                                <w:szCs w:val="22"/>
                                <w:lang w:val="nl-NL"/>
                              </w:rPr>
                              <w:t>Het internal-auditcharter is een formeel document dat het doel, de bevoegdheid en de verantwoordelijkheid van de internal-auditfunctie definieert. In het internal-auditcharter wordt de positie van de internal-auditfunctie binnen de organisatie vastgelegd, inclusief de aard van de functionele rapportagelijn tussen het hoofd van de internal-auditfunctie en het bestuur, wordt bevoegdheid verleend tot toegang tot documenten, personen en fysieke eigendommen, voor zover relevant voor het uitvoeren van de opdrachten, en wordt de reikwijdte van de internal-auditfunctie afgebakend. De uiteindelijke goedkeuring van het internal-auditcharter valt onder de verantwoordelijkheid van het bestuur.</w:t>
                            </w:r>
                            <w:r w:rsidRPr="00877EB9">
                              <w:rPr>
                                <w:rFonts w:asciiTheme="majorHAnsi" w:hAnsiTheme="majorHAnsi" w:cstheme="majorHAnsi"/>
                                <w:i/>
                                <w:sz w:val="22"/>
                                <w:szCs w:val="22"/>
                              </w:rPr>
                              <w:t xml:space="preserve"> </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5.5pt;width:7in;height:466.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8D1B9A">
                        <w:rPr>
                          <w:rFonts w:asciiTheme="majorHAnsi" w:hAnsiTheme="majorHAnsi" w:cstheme="majorHAnsi"/>
                          <w:lang w:val="nl-NL"/>
                        </w:rPr>
                        <w:t>1000</w:t>
                      </w:r>
                      <w:r w:rsidR="002F57B5" w:rsidRPr="00D24D8B">
                        <w:rPr>
                          <w:rFonts w:asciiTheme="majorHAnsi" w:hAnsiTheme="majorHAnsi" w:cstheme="majorHAnsi"/>
                          <w:lang w:val="nl-NL"/>
                        </w:rPr>
                        <w:t xml:space="preserve"> - </w:t>
                      </w:r>
                      <w:r w:rsidR="008D1B9A" w:rsidRPr="008D1B9A">
                        <w:rPr>
                          <w:rFonts w:asciiTheme="majorHAnsi" w:hAnsiTheme="majorHAnsi" w:cstheme="majorHAnsi"/>
                          <w:lang w:val="nl-NL"/>
                        </w:rPr>
                        <w:t>Doel, bevoegdheid en verantwoordelijkheid</w:t>
                      </w:r>
                    </w:p>
                    <w:p w:rsidR="00665553" w:rsidRPr="00877EB9" w:rsidRDefault="008D1B9A" w:rsidP="002F57B5">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sz w:val="22"/>
                          <w:szCs w:val="22"/>
                          <w:lang w:val="nl-NL"/>
                        </w:rPr>
                        <w:t xml:space="preserve">Het doel, de bevoegdheid en de verantwoordelijkheid van de internal-auditfunctie moeten formeel in een internal-auditcharter worden vastgelegd. Dit moet in overeenstemming zijn met de missie van internal auditing en de verplichte aspecten van het internationale raamwerk voor de beroepsuitoefening (de kernbeginselen van de beroepsuitoefening van internal auditing, de gedragscode, de </w:t>
                      </w:r>
                      <w:bookmarkStart w:id="1" w:name="_GoBack"/>
                      <w:r w:rsidRPr="00BF3398">
                        <w:rPr>
                          <w:rFonts w:asciiTheme="majorHAnsi" w:hAnsiTheme="majorHAnsi" w:cstheme="majorHAnsi"/>
                          <w:i/>
                          <w:sz w:val="22"/>
                          <w:szCs w:val="22"/>
                          <w:lang w:val="nl-NL"/>
                        </w:rPr>
                        <w:t>Stand</w:t>
                      </w:r>
                      <w:bookmarkEnd w:id="1"/>
                      <w:r w:rsidRPr="00BF3398">
                        <w:rPr>
                          <w:rFonts w:asciiTheme="majorHAnsi" w:hAnsiTheme="majorHAnsi" w:cstheme="majorHAnsi"/>
                          <w:i/>
                          <w:sz w:val="22"/>
                          <w:szCs w:val="22"/>
                          <w:lang w:val="nl-NL"/>
                        </w:rPr>
                        <w:t>aarden</w:t>
                      </w:r>
                      <w:r w:rsidRPr="00877EB9">
                        <w:rPr>
                          <w:rFonts w:asciiTheme="majorHAnsi" w:hAnsiTheme="majorHAnsi" w:cstheme="majorHAnsi"/>
                          <w:sz w:val="22"/>
                          <w:szCs w:val="22"/>
                          <w:lang w:val="nl-NL"/>
                        </w:rPr>
                        <w:t xml:space="preserve"> en de definitie van internal auditing). Het hoofd van de internal-auditfunctie moet periodiek het internal-auditcharter beoordelen en dit ter goedkeuring voorleggen aan het senior management en het bestuur</w:t>
                      </w:r>
                      <w:r w:rsidR="005A0CAD" w:rsidRPr="00877EB9">
                        <w:rPr>
                          <w:rFonts w:asciiTheme="majorHAnsi" w:hAnsiTheme="majorHAnsi" w:cstheme="majorHAnsi"/>
                          <w:sz w:val="22"/>
                          <w:szCs w:val="22"/>
                          <w:lang w:val="nl-NL"/>
                        </w:rPr>
                        <w:t>.</w:t>
                      </w:r>
                    </w:p>
                    <w:p w:rsidR="00A60C13" w:rsidRPr="00877EB9" w:rsidRDefault="00A60C13" w:rsidP="002F57B5">
                      <w:pPr>
                        <w:pStyle w:val="RedBullets"/>
                        <w:numPr>
                          <w:ilvl w:val="0"/>
                          <w:numId w:val="0"/>
                        </w:numPr>
                        <w:rPr>
                          <w:rFonts w:asciiTheme="majorHAnsi" w:hAnsiTheme="majorHAnsi" w:cstheme="majorHAnsi"/>
                          <w:sz w:val="22"/>
                          <w:szCs w:val="22"/>
                          <w:lang w:val="nl-NL"/>
                        </w:rPr>
                      </w:pPr>
                    </w:p>
                    <w:p w:rsidR="00A60C13" w:rsidRPr="00877EB9" w:rsidRDefault="00A60C13" w:rsidP="00A60C13">
                      <w:pPr>
                        <w:pStyle w:val="Kop2"/>
                        <w:rPr>
                          <w:b/>
                          <w:color w:val="auto"/>
                          <w:sz w:val="22"/>
                          <w:szCs w:val="22"/>
                          <w:lang w:val="nl-NL"/>
                        </w:rPr>
                      </w:pPr>
                      <w:r w:rsidRPr="00877EB9">
                        <w:rPr>
                          <w:b/>
                          <w:color w:val="auto"/>
                          <w:sz w:val="22"/>
                          <w:szCs w:val="22"/>
                          <w:lang w:val="nl-NL"/>
                        </w:rPr>
                        <w:t>Interpretatie:</w:t>
                      </w:r>
                    </w:p>
                    <w:p w:rsidR="00A03C2A" w:rsidRPr="00877EB9" w:rsidRDefault="00A03C2A" w:rsidP="00E659E4">
                      <w:pPr>
                        <w:pStyle w:val="Geenafstand"/>
                        <w:rPr>
                          <w:sz w:val="22"/>
                          <w:szCs w:val="22"/>
                          <w:lang w:val="nl-NL"/>
                        </w:rPr>
                      </w:pPr>
                    </w:p>
                    <w:p w:rsidR="002F57B5" w:rsidRPr="00877EB9" w:rsidRDefault="00A60C13" w:rsidP="002F57B5">
                      <w:pPr>
                        <w:pStyle w:val="RedBullets"/>
                        <w:numPr>
                          <w:ilvl w:val="0"/>
                          <w:numId w:val="0"/>
                        </w:numPr>
                        <w:rPr>
                          <w:rFonts w:asciiTheme="majorHAnsi" w:hAnsiTheme="majorHAnsi" w:cstheme="majorHAnsi"/>
                          <w:i/>
                          <w:sz w:val="22"/>
                          <w:szCs w:val="22"/>
                        </w:rPr>
                      </w:pPr>
                      <w:r w:rsidRPr="00877EB9">
                        <w:rPr>
                          <w:rFonts w:asciiTheme="majorHAnsi" w:hAnsiTheme="majorHAnsi" w:cstheme="majorHAnsi"/>
                          <w:i/>
                          <w:sz w:val="22"/>
                          <w:szCs w:val="22"/>
                          <w:lang w:val="nl-NL"/>
                        </w:rPr>
                        <w:t>Het internal-auditcharter is een formeel document dat het doel, de bevoegdheid en de verantwoordelijkheid van de internal-auditfunctie definieert. In het internal-auditcharter wordt de positie van de internal-auditfunctie binnen de organisatie vastgelegd, inclusief de aard van de functionele rapportagelijn tussen het hoofd van de internal-auditfunctie en het bestuur, wordt bevoegdheid verleend tot toegang tot documenten, personen en fysieke eigendommen, voor zover relevant voor het uitvoeren van de opdrachten, en wordt de reikwijdte van de internal-auditfunctie afgebakend. De uiteindelijke goedkeuring van het internal-auditcharter valt onder de verantwoordelijkheid van het bestuur.</w:t>
                      </w:r>
                      <w:r w:rsidRPr="00877EB9">
                        <w:rPr>
                          <w:rFonts w:asciiTheme="majorHAnsi" w:hAnsiTheme="majorHAnsi" w:cstheme="majorHAnsi"/>
                          <w:i/>
                          <w:sz w:val="22"/>
                          <w:szCs w:val="22"/>
                        </w:rPr>
                        <w:t xml:space="preserve"> </w:t>
                      </w:r>
                    </w:p>
                  </w:txbxContent>
                </v:textbox>
                <w10:wrap type="square" anchorx="margin" anchory="margin"/>
              </v:shape>
            </w:pict>
          </mc:Fallback>
        </mc:AlternateContent>
      </w:r>
      <w:r w:rsidR="00570B1B" w:rsidRPr="00877EB9">
        <w:rPr>
          <w:rFonts w:cstheme="minorHAnsi"/>
          <w:noProof/>
          <w:lang w:val="nl-NL" w:eastAsia="nl-NL"/>
        </w:rPr>
        <mc:AlternateContent>
          <mc:Choice Requires="wps">
            <w:drawing>
              <wp:anchor distT="2103120" distB="274320" distL="114300" distR="114300" simplePos="0" relativeHeight="251664384" behindDoc="0" locked="0" layoutInCell="1" allowOverlap="1" wp14:anchorId="7C03F7A5" wp14:editId="3F407704">
                <wp:simplePos x="0" y="0"/>
                <wp:positionH relativeFrom="margin">
                  <wp:posOffset>0</wp:posOffset>
                </wp:positionH>
                <wp:positionV relativeFrom="margin">
                  <wp:posOffset>9330690</wp:posOffset>
                </wp:positionV>
                <wp:extent cx="6400800" cy="5495925"/>
                <wp:effectExtent l="0" t="0" r="0" b="9525"/>
                <wp:wrapSquare wrapText="bothSides"/>
                <wp:docPr id="4" name="Text Box 5"/>
                <wp:cNvGraphicFramePr/>
                <a:graphic xmlns:a="http://schemas.openxmlformats.org/drawingml/2006/main">
                  <a:graphicData uri="http://schemas.microsoft.com/office/word/2010/wordprocessingShape">
                    <wps:wsp>
                      <wps:cNvSpPr txBox="1"/>
                      <wps:spPr>
                        <a:xfrm>
                          <a:off x="0" y="0"/>
                          <a:ext cx="6400800" cy="54959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70B1B" w:rsidRPr="00D24D8B" w:rsidRDefault="00570B1B" w:rsidP="00570B1B">
                            <w:pPr>
                              <w:pStyle w:val="TemplateHeadline"/>
                              <w:rPr>
                                <w:rFonts w:asciiTheme="majorHAnsi" w:hAnsiTheme="majorHAnsi" w:cstheme="majorHAnsi"/>
                              </w:rPr>
                            </w:pPr>
                            <w:r>
                              <w:rPr>
                                <w:rFonts w:asciiTheme="majorHAnsi" w:hAnsiTheme="majorHAnsi" w:cstheme="majorHAnsi"/>
                                <w:lang w:val="nl-NL"/>
                              </w:rPr>
                              <w:t>Standaard 1000</w:t>
                            </w:r>
                            <w:r w:rsidRPr="00D24D8B">
                              <w:rPr>
                                <w:rFonts w:asciiTheme="majorHAnsi" w:hAnsiTheme="majorHAnsi" w:cstheme="majorHAnsi"/>
                                <w:lang w:val="nl-NL"/>
                              </w:rPr>
                              <w:t xml:space="preserve"> - </w:t>
                            </w:r>
                            <w:r w:rsidRPr="008D1B9A">
                              <w:rPr>
                                <w:rFonts w:asciiTheme="majorHAnsi" w:hAnsiTheme="majorHAnsi" w:cstheme="majorHAnsi"/>
                                <w:lang w:val="nl-NL"/>
                              </w:rPr>
                              <w:t>Doel, bevoegdheid en verantwoordelijkheid</w:t>
                            </w:r>
                          </w:p>
                          <w:p w:rsidR="00570B1B" w:rsidRDefault="00570B1B" w:rsidP="00570B1B">
                            <w:pPr>
                              <w:pStyle w:val="RedBullets"/>
                              <w:numPr>
                                <w:ilvl w:val="0"/>
                                <w:numId w:val="0"/>
                              </w:numPr>
                              <w:rPr>
                                <w:rFonts w:asciiTheme="majorHAnsi" w:hAnsiTheme="majorHAnsi" w:cstheme="majorHAnsi"/>
                                <w:lang w:val="nl-NL"/>
                              </w:rPr>
                            </w:pPr>
                            <w:r w:rsidRPr="008D1B9A">
                              <w:rPr>
                                <w:rFonts w:asciiTheme="majorHAnsi" w:hAnsiTheme="majorHAnsi" w:cstheme="majorHAnsi"/>
                                <w:lang w:val="nl-NL"/>
                              </w:rPr>
                              <w:t>Het doel, de bevoegdheid en de verantwoordelijkheid van de internal-auditfunctie moeten formeel in een internal-auditcharter worden vastgelegd. Dit moet in overeenstemming zijn met de missie van internal auditing en de verplichte aspecten van het internationale raamwerk voor de beroepsuitoefening (de kernbeginselen van de beroepsuitoefening van internal auditing, de gedragscode, de Standaarden en de definitie van internal auditing). Het hoofd van de internal-auditfunctie moet periodiek het internal-auditcharter beoordelen en dit ter goedkeuring voorleggen aan het s</w:t>
                            </w:r>
                            <w:r>
                              <w:rPr>
                                <w:rFonts w:asciiTheme="majorHAnsi" w:hAnsiTheme="majorHAnsi" w:cstheme="majorHAnsi"/>
                                <w:lang w:val="nl-NL"/>
                              </w:rPr>
                              <w:t>enior management en het bestuur</w:t>
                            </w:r>
                            <w:r w:rsidRPr="005A0CAD">
                              <w:rPr>
                                <w:rFonts w:asciiTheme="majorHAnsi" w:hAnsiTheme="majorHAnsi" w:cstheme="majorHAnsi"/>
                                <w:lang w:val="nl-NL"/>
                              </w:rPr>
                              <w:t>.</w:t>
                            </w:r>
                          </w:p>
                          <w:p w:rsidR="00570B1B" w:rsidRDefault="00570B1B" w:rsidP="00570B1B">
                            <w:pPr>
                              <w:pStyle w:val="RedBullets"/>
                              <w:numPr>
                                <w:ilvl w:val="0"/>
                                <w:numId w:val="0"/>
                              </w:numPr>
                              <w:rPr>
                                <w:rFonts w:asciiTheme="majorHAnsi" w:hAnsiTheme="majorHAnsi" w:cstheme="majorHAnsi"/>
                                <w:lang w:val="nl-NL"/>
                              </w:rPr>
                            </w:pPr>
                          </w:p>
                          <w:p w:rsidR="00570B1B" w:rsidRPr="00A60C13" w:rsidRDefault="00570B1B" w:rsidP="00570B1B">
                            <w:pPr>
                              <w:pStyle w:val="Kop2"/>
                              <w:rPr>
                                <w:b/>
                                <w:color w:val="002060"/>
                                <w:lang w:val="nl-NL"/>
                              </w:rPr>
                            </w:pPr>
                            <w:r w:rsidRPr="00A60C13">
                              <w:rPr>
                                <w:b/>
                                <w:color w:val="002060"/>
                                <w:lang w:val="nl-NL"/>
                              </w:rPr>
                              <w:t>Interpretatie:</w:t>
                            </w:r>
                          </w:p>
                          <w:p w:rsidR="00570B1B" w:rsidRPr="008F2569" w:rsidRDefault="00570B1B" w:rsidP="00570B1B">
                            <w:pPr>
                              <w:pStyle w:val="RedBullets"/>
                              <w:numPr>
                                <w:ilvl w:val="0"/>
                                <w:numId w:val="0"/>
                              </w:numPr>
                              <w:rPr>
                                <w:rFonts w:asciiTheme="majorHAnsi" w:hAnsiTheme="majorHAnsi" w:cstheme="majorHAnsi"/>
                              </w:rPr>
                            </w:pPr>
                            <w:r w:rsidRPr="00A60C13">
                              <w:rPr>
                                <w:rFonts w:asciiTheme="majorHAnsi" w:hAnsiTheme="majorHAnsi" w:cstheme="majorHAnsi"/>
                                <w:lang w:val="nl-NL"/>
                              </w:rPr>
                              <w:t>Het internal-auditcharter is een formeel document dat het doel, de bevoegdheid en de verantwoordelijkheid van de internal-auditfunctie definieert. In het internal-auditcharter wordt de positie van de internal-auditfunctie binnen de organisatie vastgelegd, inclusief de aard van de functionele rapportagelijn tussen het hoofd van de internal-auditfunctie en het bestuur, wordt bevoegdheid verleend tot toegang tot documenten, personen en fysieke eigendommen, voor zover relevant voor het uitvoeren van de opdrachten, en wordt de reikwijdte van de internal-auditfunctie afgebakend. De uiteindelijke goedkeuring van het internal-auditcharter valt onder de verantwoordelijkheid van het bestuur.</w:t>
                            </w:r>
                            <w:r>
                              <w:rPr>
                                <w:rFonts w:asciiTheme="majorHAnsi" w:hAnsiTheme="majorHAnsi" w:cstheme="majorHAnsi"/>
                              </w:rPr>
                              <w:t xml:space="preserve"> </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3F7A5" id="_x0000_s1027" type="#_x0000_t202" style="position:absolute;margin-left:0;margin-top:734.7pt;width:7in;height:432.75pt;z-index:251664384;visibility:visible;mso-wrap-style:square;mso-height-percent:0;mso-wrap-distance-left:9pt;mso-wrap-distance-top:165.6pt;mso-wrap-distance-right:9pt;mso-wrap-distance-bottom:21.6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" fillcolor="#d8d8d8 [2732]" stroked="f">
                <v:textbox inset="14.4pt,23.76pt,14.4pt,23.76pt">
                  <w:txbxContent>
                    <w:p w:rsidR="00570B1B" w:rsidRPr="00D24D8B" w:rsidRDefault="00570B1B" w:rsidP="00570B1B">
                      <w:pPr>
                        <w:pStyle w:val="TemplateHeadline"/>
                        <w:rPr>
                          <w:rFonts w:asciiTheme="majorHAnsi" w:hAnsiTheme="majorHAnsi" w:cstheme="majorHAnsi"/>
                        </w:rPr>
                      </w:pPr>
                      <w:r>
                        <w:rPr>
                          <w:rFonts w:asciiTheme="majorHAnsi" w:hAnsiTheme="majorHAnsi" w:cstheme="majorHAnsi"/>
                          <w:lang w:val="nl-NL"/>
                        </w:rPr>
                        <w:t>Standaard 1000</w:t>
                      </w:r>
                      <w:r w:rsidRPr="00D24D8B">
                        <w:rPr>
                          <w:rFonts w:asciiTheme="majorHAnsi" w:hAnsiTheme="majorHAnsi" w:cstheme="majorHAnsi"/>
                          <w:lang w:val="nl-NL"/>
                        </w:rPr>
                        <w:t xml:space="preserve"> - </w:t>
                      </w:r>
                      <w:r w:rsidRPr="008D1B9A">
                        <w:rPr>
                          <w:rFonts w:asciiTheme="majorHAnsi" w:hAnsiTheme="majorHAnsi" w:cstheme="majorHAnsi"/>
                          <w:lang w:val="nl-NL"/>
                        </w:rPr>
                        <w:t>Doel, bevoegdheid en verantwoordelijkheid</w:t>
                      </w:r>
                    </w:p>
                    <w:p w:rsidR="00570B1B" w:rsidRDefault="00570B1B" w:rsidP="00570B1B">
                      <w:pPr>
                        <w:pStyle w:val="RedBullets"/>
                        <w:numPr>
                          <w:ilvl w:val="0"/>
                          <w:numId w:val="0"/>
                        </w:numPr>
                        <w:rPr>
                          <w:rFonts w:asciiTheme="majorHAnsi" w:hAnsiTheme="majorHAnsi" w:cstheme="majorHAnsi"/>
                          <w:lang w:val="nl-NL"/>
                        </w:rPr>
                      </w:pPr>
                      <w:r w:rsidRPr="008D1B9A">
                        <w:rPr>
                          <w:rFonts w:asciiTheme="majorHAnsi" w:hAnsiTheme="majorHAnsi" w:cstheme="majorHAnsi"/>
                          <w:lang w:val="nl-NL"/>
                        </w:rPr>
                        <w:t>Het doel, de bevoegdheid en de verantwoordelijkheid van de internal-auditfunctie moeten formeel in een internal-auditcharter worden vastgelegd. Dit moet in overeenstemming zijn met de missie van internal auditing en de verplichte aspecten van het internationale raamwerk voor de beroepsuitoefening (de kernbeginselen van de beroepsuitoefening van internal auditing, de gedragscode, de Standaarden en de definitie van internal auditing). Het hoofd van de internal-auditfunctie moet periodiek het internal-auditcharter beoordelen en dit ter goedkeuring voorleggen aan het s</w:t>
                      </w:r>
                      <w:r>
                        <w:rPr>
                          <w:rFonts w:asciiTheme="majorHAnsi" w:hAnsiTheme="majorHAnsi" w:cstheme="majorHAnsi"/>
                          <w:lang w:val="nl-NL"/>
                        </w:rPr>
                        <w:t>enior management en het bestuur</w:t>
                      </w:r>
                      <w:r w:rsidRPr="005A0CAD">
                        <w:rPr>
                          <w:rFonts w:asciiTheme="majorHAnsi" w:hAnsiTheme="majorHAnsi" w:cstheme="majorHAnsi"/>
                          <w:lang w:val="nl-NL"/>
                        </w:rPr>
                        <w:t>.</w:t>
                      </w:r>
                    </w:p>
                    <w:p w:rsidR="00570B1B" w:rsidRDefault="00570B1B" w:rsidP="00570B1B">
                      <w:pPr>
                        <w:pStyle w:val="RedBullets"/>
                        <w:numPr>
                          <w:ilvl w:val="0"/>
                          <w:numId w:val="0"/>
                        </w:numPr>
                        <w:rPr>
                          <w:rFonts w:asciiTheme="majorHAnsi" w:hAnsiTheme="majorHAnsi" w:cstheme="majorHAnsi"/>
                          <w:lang w:val="nl-NL"/>
                        </w:rPr>
                      </w:pPr>
                    </w:p>
                    <w:p w:rsidR="00570B1B" w:rsidRPr="00A60C13" w:rsidRDefault="00570B1B" w:rsidP="00570B1B">
                      <w:pPr>
                        <w:pStyle w:val="Kop2"/>
                        <w:rPr>
                          <w:b/>
                          <w:color w:val="002060"/>
                          <w:lang w:val="nl-NL"/>
                        </w:rPr>
                      </w:pPr>
                      <w:r w:rsidRPr="00A60C13">
                        <w:rPr>
                          <w:b/>
                          <w:color w:val="002060"/>
                          <w:lang w:val="nl-NL"/>
                        </w:rPr>
                        <w:t>Interpretatie:</w:t>
                      </w:r>
                    </w:p>
                    <w:p w:rsidR="00570B1B" w:rsidRPr="008F2569" w:rsidRDefault="00570B1B" w:rsidP="00570B1B">
                      <w:pPr>
                        <w:pStyle w:val="RedBullets"/>
                        <w:numPr>
                          <w:ilvl w:val="0"/>
                          <w:numId w:val="0"/>
                        </w:numPr>
                        <w:rPr>
                          <w:rFonts w:asciiTheme="majorHAnsi" w:hAnsiTheme="majorHAnsi" w:cstheme="majorHAnsi"/>
                        </w:rPr>
                      </w:pPr>
                      <w:r w:rsidRPr="00A60C13">
                        <w:rPr>
                          <w:rFonts w:asciiTheme="majorHAnsi" w:hAnsiTheme="majorHAnsi" w:cstheme="majorHAnsi"/>
                          <w:lang w:val="nl-NL"/>
                        </w:rPr>
                        <w:t>Het internal-auditcharter is een formeel document dat het doel, de bevoegdheid en de verantwoordelijkheid van de internal-auditfunctie definieert. In het internal-auditcharter wordt de positie van de internal-auditfunctie binnen de organisatie vastgelegd, inclusief de aard van de functionele rapportagelijn tussen het hoofd van de internal-auditfunctie en het bestuur, wordt bevoegdheid verleend tot toegang tot documenten, personen en fysieke eigendommen, voor zover relevant voor het uitvoeren van de opdrachten, en wordt de reikwijdte van de internal-auditfunctie afgebakend. De uiteindelijke goedkeuring van het internal-auditcharter valt onder de verantwoordelijkheid van het bestuur.</w:t>
                      </w:r>
                      <w:r>
                        <w:rPr>
                          <w:rFonts w:asciiTheme="majorHAnsi" w:hAnsiTheme="majorHAnsi" w:cstheme="majorHAnsi"/>
                        </w:rPr>
                        <w:t xml:space="preserve"> </w:t>
                      </w:r>
                    </w:p>
                  </w:txbxContent>
                </v:textbox>
                <w10:wrap type="square" anchorx="margin" anchory="margin"/>
              </v:shape>
            </w:pict>
          </mc:Fallback>
        </mc:AlternateContent>
      </w:r>
      <w:r w:rsidR="00685768" w:rsidRPr="00877EB9">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10</w:t>
                            </w:r>
                            <w:r w:rsidR="008D1B9A">
                              <w:rPr>
                                <w:color w:val="FFFFFF" w:themeColor="background1"/>
                                <w:sz w:val="50"/>
                                <w:szCs w:val="50"/>
                                <w:lang w:val="nl-NL"/>
                                <w14:textOutline w14:w="9525" w14:cap="flat" w14:cmpd="sng" w14:algn="ctr">
                                  <w14:noFill/>
                                  <w14:prstDash w14:val="solid"/>
                                  <w14:round/>
                                </w14:textOutline>
                              </w:rPr>
                              <w:t>0</w:t>
                            </w:r>
                            <w:r w:rsidR="002F57B5"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8"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10</w:t>
                      </w:r>
                      <w:r w:rsidR="008D1B9A">
                        <w:rPr>
                          <w:color w:val="FFFFFF" w:themeColor="background1"/>
                          <w:sz w:val="50"/>
                          <w:szCs w:val="50"/>
                          <w:lang w:val="nl-NL"/>
                          <w14:textOutline w14:w="9525" w14:cap="flat" w14:cmpd="sng" w14:algn="ctr">
                            <w14:noFill/>
                            <w14:prstDash w14:val="solid"/>
                            <w14:round/>
                          </w14:textOutline>
                        </w:rPr>
                        <w:t>0</w:t>
                      </w:r>
                      <w:r w:rsidR="002F57B5"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570B1B" w:rsidRPr="00877EB9" w:rsidRDefault="00570B1B" w:rsidP="00570B1B">
      <w:pPr>
        <w:pStyle w:val="Geenafstand"/>
        <w:rPr>
          <w:rFonts w:cstheme="minorHAnsi"/>
          <w:lang w:val="nl-NL"/>
        </w:rPr>
      </w:pPr>
      <w:r w:rsidRPr="00877EB9">
        <w:rPr>
          <w:rFonts w:cstheme="minorHAnsi"/>
          <w:noProof/>
          <w:lang w:val="nl-NL" w:eastAsia="nl-NL"/>
        </w:rPr>
        <w:lastRenderedPageBreak/>
        <mc:AlternateContent>
          <mc:Choice Requires="wps">
            <w:drawing>
              <wp:anchor distT="2103120" distB="274320" distL="114300" distR="114300" simplePos="0" relativeHeight="251666432" behindDoc="0" locked="0" layoutInCell="1" allowOverlap="1" wp14:anchorId="4D55E752" wp14:editId="73980E8D">
                <wp:simplePos x="0" y="0"/>
                <wp:positionH relativeFrom="margin">
                  <wp:align>right</wp:align>
                </wp:positionH>
                <wp:positionV relativeFrom="margin">
                  <wp:align>top</wp:align>
                </wp:positionV>
                <wp:extent cx="6400800" cy="2667000"/>
                <wp:effectExtent l="0" t="0" r="0" b="0"/>
                <wp:wrapSquare wrapText="bothSides"/>
                <wp:docPr id="7" name="Text Box 5"/>
                <wp:cNvGraphicFramePr/>
                <a:graphic xmlns:a="http://schemas.openxmlformats.org/drawingml/2006/main">
                  <a:graphicData uri="http://schemas.microsoft.com/office/word/2010/wordprocessingShape">
                    <wps:wsp>
                      <wps:cNvSpPr txBox="1"/>
                      <wps:spPr>
                        <a:xfrm>
                          <a:off x="0" y="0"/>
                          <a:ext cx="6400800" cy="26670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70B1B" w:rsidRPr="00877EB9" w:rsidRDefault="00570B1B" w:rsidP="00570B1B">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b/>
                                <w:sz w:val="22"/>
                                <w:szCs w:val="22"/>
                                <w:lang w:val="nl-NL"/>
                              </w:rPr>
                              <w:t>1000.A1</w:t>
                            </w:r>
                            <w:r w:rsidRPr="00877EB9">
                              <w:rPr>
                                <w:rFonts w:asciiTheme="majorHAnsi" w:hAnsiTheme="majorHAnsi" w:cstheme="majorHAnsi"/>
                                <w:sz w:val="22"/>
                                <w:szCs w:val="22"/>
                                <w:lang w:val="nl-NL"/>
                              </w:rPr>
                              <w:t xml:space="preserve"> – De aard van de auditdiensten die aan de organisatie worden geleverd, moet gedefinieerd zijn in het internal-auditcharter. Indien zekerheid moet worden verstrekt aan partijen buiten de organisatie, moet de aard van deze zekerheden eveneens in het internal-auditcharter zijn gedefinieerd.</w:t>
                            </w:r>
                          </w:p>
                          <w:p w:rsidR="00570B1B" w:rsidRPr="00877EB9" w:rsidRDefault="00570B1B" w:rsidP="00570B1B">
                            <w:pPr>
                              <w:pStyle w:val="RedBullets"/>
                              <w:numPr>
                                <w:ilvl w:val="0"/>
                                <w:numId w:val="0"/>
                              </w:numPr>
                              <w:rPr>
                                <w:rFonts w:asciiTheme="majorHAnsi" w:hAnsiTheme="majorHAnsi" w:cstheme="majorHAnsi"/>
                                <w:sz w:val="22"/>
                                <w:szCs w:val="22"/>
                                <w:lang w:val="nl-NL"/>
                              </w:rPr>
                            </w:pPr>
                          </w:p>
                          <w:p w:rsidR="00570B1B" w:rsidRPr="00877EB9" w:rsidRDefault="00570B1B" w:rsidP="00570B1B">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b/>
                                <w:sz w:val="22"/>
                                <w:szCs w:val="22"/>
                                <w:lang w:val="nl-NL"/>
                              </w:rPr>
                              <w:t>1000.C1</w:t>
                            </w:r>
                            <w:r w:rsidRPr="00877EB9">
                              <w:rPr>
                                <w:rFonts w:asciiTheme="majorHAnsi" w:hAnsiTheme="majorHAnsi" w:cstheme="majorHAnsi"/>
                                <w:sz w:val="22"/>
                                <w:szCs w:val="22"/>
                                <w:lang w:val="nl-NL"/>
                              </w:rPr>
                              <w:t xml:space="preserve"> – De aard van adviesdiensten moet in het internal-auditcharter zijn gedefinieerd.</w:t>
                            </w:r>
                          </w:p>
                          <w:p w:rsidR="0010330F" w:rsidRPr="00877EB9" w:rsidRDefault="0010330F" w:rsidP="00570B1B">
                            <w:pPr>
                              <w:pStyle w:val="RedBullets"/>
                              <w:numPr>
                                <w:ilvl w:val="0"/>
                                <w:numId w:val="0"/>
                              </w:numPr>
                              <w:rPr>
                                <w:rFonts w:asciiTheme="majorHAnsi" w:hAnsiTheme="majorHAnsi" w:cstheme="majorHAnsi"/>
                                <w:sz w:val="22"/>
                                <w:szCs w:val="22"/>
                                <w:lang w:val="nl-NL"/>
                              </w:rPr>
                            </w:pPr>
                          </w:p>
                          <w:p w:rsidR="0010330F" w:rsidRPr="00877EB9" w:rsidRDefault="0010330F" w:rsidP="0010330F">
                            <w:pPr>
                              <w:pStyle w:val="RedBullets"/>
                              <w:numPr>
                                <w:ilvl w:val="0"/>
                                <w:numId w:val="0"/>
                              </w:numPr>
                              <w:jc w:val="right"/>
                              <w:rPr>
                                <w:rFonts w:asciiTheme="majorHAnsi" w:hAnsiTheme="majorHAnsi" w:cstheme="majorHAnsi"/>
                                <w:sz w:val="22"/>
                                <w:szCs w:val="22"/>
                                <w:lang w:val="nl-NL"/>
                              </w:rPr>
                            </w:pPr>
                            <w:proofErr w:type="spellStart"/>
                            <w:r w:rsidRPr="00877EB9">
                              <w:rPr>
                                <w:rFonts w:asciiTheme="majorHAnsi" w:hAnsiTheme="majorHAnsi" w:cstheme="majorHAnsi"/>
                                <w:sz w:val="22"/>
                                <w:szCs w:val="22"/>
                                <w:lang w:val="nl-NL"/>
                              </w:rPr>
                              <w:t>Herziene</w:t>
                            </w:r>
                            <w:proofErr w:type="spellEnd"/>
                            <w:r w:rsidRPr="00877EB9">
                              <w:rPr>
                                <w:rFonts w:asciiTheme="majorHAnsi" w:hAnsiTheme="majorHAnsi" w:cstheme="majorHAnsi"/>
                                <w:sz w:val="22"/>
                                <w:szCs w:val="22"/>
                                <w:lang w:val="nl-NL"/>
                              </w:rPr>
                              <w:t xml:space="preserve"> </w:t>
                            </w:r>
                            <w:r w:rsidRPr="00BF3398">
                              <w:rPr>
                                <w:rFonts w:asciiTheme="majorHAnsi" w:hAnsiTheme="majorHAnsi" w:cstheme="majorHAnsi"/>
                                <w:i/>
                                <w:sz w:val="22"/>
                                <w:szCs w:val="22"/>
                                <w:lang w:val="nl-NL"/>
                              </w:rPr>
                              <w:t>Standaarden</w:t>
                            </w:r>
                            <w:r w:rsidRPr="00877EB9">
                              <w:rPr>
                                <w:rFonts w:asciiTheme="majorHAnsi" w:hAnsiTheme="majorHAnsi" w:cstheme="majorHAnsi"/>
                                <w:sz w:val="22"/>
                                <w:szCs w:val="22"/>
                                <w:lang w:val="nl-NL"/>
                              </w:rPr>
                              <w:t xml:space="preserve"> die per 1 januari 2017 van kracht zijn</w:t>
                            </w:r>
                          </w:p>
                          <w:p w:rsidR="00570B1B" w:rsidRPr="00C06E0D" w:rsidRDefault="00570B1B" w:rsidP="00570B1B">
                            <w:pPr>
                              <w:pStyle w:val="RedBullets"/>
                              <w:numPr>
                                <w:ilvl w:val="0"/>
                                <w:numId w:val="0"/>
                              </w:numPr>
                              <w:rPr>
                                <w:rFonts w:asciiTheme="majorHAnsi" w:hAnsiTheme="majorHAnsi" w:cstheme="majorHAnsi"/>
                                <w:lang w:val="nl-NL"/>
                              </w:rPr>
                            </w:pPr>
                          </w:p>
                          <w:p w:rsidR="00570B1B" w:rsidRPr="00C06E0D" w:rsidRDefault="00570B1B" w:rsidP="00570B1B">
                            <w:pPr>
                              <w:pStyle w:val="RedBullets"/>
                              <w:numPr>
                                <w:ilvl w:val="0"/>
                                <w:numId w:val="0"/>
                              </w:numPr>
                              <w:rPr>
                                <w:rFonts w:asciiTheme="majorHAnsi" w:hAnsiTheme="majorHAnsi" w:cstheme="majorHAnsi"/>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5E752" id="_x0000_s1029" type="#_x0000_t202" style="position:absolute;margin-left:452.8pt;margin-top:0;width:7in;height:210pt;z-index:251666432;visibility:visible;mso-wrap-style:square;mso-height-percent:0;mso-wrap-distance-left:9pt;mso-wrap-distance-top:165.6pt;mso-wrap-distance-right:9pt;mso-wrap-distance-bottom:21.6pt;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" fillcolor="#d8d8d8 [2732]" stroked="f">
                <v:textbox inset="14.4pt,23.76pt,14.4pt,23.76pt">
                  <w:txbxContent>
                    <w:p w:rsidR="00570B1B" w:rsidRPr="00877EB9" w:rsidRDefault="00570B1B" w:rsidP="00570B1B">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b/>
                          <w:sz w:val="22"/>
                          <w:szCs w:val="22"/>
                          <w:lang w:val="nl-NL"/>
                        </w:rPr>
                        <w:t>1000.A1</w:t>
                      </w:r>
                      <w:r w:rsidRPr="00877EB9">
                        <w:rPr>
                          <w:rFonts w:asciiTheme="majorHAnsi" w:hAnsiTheme="majorHAnsi" w:cstheme="majorHAnsi"/>
                          <w:sz w:val="22"/>
                          <w:szCs w:val="22"/>
                          <w:lang w:val="nl-NL"/>
                        </w:rPr>
                        <w:t xml:space="preserve"> – De aard van de auditdiensten die aan de organisatie worden geleverd, moet gedefinieerd zijn in het internal-auditcharter. Indien zekerheid moet worden verstrekt aan partijen buiten de organisatie, moet de aard van deze zekerheden eveneens in het internal-auditcharter zijn gedefinieerd.</w:t>
                      </w:r>
                    </w:p>
                    <w:p w:rsidR="00570B1B" w:rsidRPr="00877EB9" w:rsidRDefault="00570B1B" w:rsidP="00570B1B">
                      <w:pPr>
                        <w:pStyle w:val="RedBullets"/>
                        <w:numPr>
                          <w:ilvl w:val="0"/>
                          <w:numId w:val="0"/>
                        </w:numPr>
                        <w:rPr>
                          <w:rFonts w:asciiTheme="majorHAnsi" w:hAnsiTheme="majorHAnsi" w:cstheme="majorHAnsi"/>
                          <w:sz w:val="22"/>
                          <w:szCs w:val="22"/>
                          <w:lang w:val="nl-NL"/>
                        </w:rPr>
                      </w:pPr>
                    </w:p>
                    <w:p w:rsidR="00570B1B" w:rsidRPr="00877EB9" w:rsidRDefault="00570B1B" w:rsidP="00570B1B">
                      <w:pPr>
                        <w:pStyle w:val="RedBullets"/>
                        <w:numPr>
                          <w:ilvl w:val="0"/>
                          <w:numId w:val="0"/>
                        </w:numPr>
                        <w:rPr>
                          <w:rFonts w:asciiTheme="majorHAnsi" w:hAnsiTheme="majorHAnsi" w:cstheme="majorHAnsi"/>
                          <w:sz w:val="22"/>
                          <w:szCs w:val="22"/>
                          <w:lang w:val="nl-NL"/>
                        </w:rPr>
                      </w:pPr>
                      <w:r w:rsidRPr="00877EB9">
                        <w:rPr>
                          <w:rFonts w:asciiTheme="majorHAnsi" w:hAnsiTheme="majorHAnsi" w:cstheme="majorHAnsi"/>
                          <w:b/>
                          <w:sz w:val="22"/>
                          <w:szCs w:val="22"/>
                          <w:lang w:val="nl-NL"/>
                        </w:rPr>
                        <w:t>1000.C1</w:t>
                      </w:r>
                      <w:r w:rsidRPr="00877EB9">
                        <w:rPr>
                          <w:rFonts w:asciiTheme="majorHAnsi" w:hAnsiTheme="majorHAnsi" w:cstheme="majorHAnsi"/>
                          <w:sz w:val="22"/>
                          <w:szCs w:val="22"/>
                          <w:lang w:val="nl-NL"/>
                        </w:rPr>
                        <w:t xml:space="preserve"> – De aard van adviesdiensten moet in het internal-auditcharter zijn gedefinieerd.</w:t>
                      </w:r>
                    </w:p>
                    <w:p w:rsidR="0010330F" w:rsidRPr="00877EB9" w:rsidRDefault="0010330F" w:rsidP="00570B1B">
                      <w:pPr>
                        <w:pStyle w:val="RedBullets"/>
                        <w:numPr>
                          <w:ilvl w:val="0"/>
                          <w:numId w:val="0"/>
                        </w:numPr>
                        <w:rPr>
                          <w:rFonts w:asciiTheme="majorHAnsi" w:hAnsiTheme="majorHAnsi" w:cstheme="majorHAnsi"/>
                          <w:sz w:val="22"/>
                          <w:szCs w:val="22"/>
                          <w:lang w:val="nl-NL"/>
                        </w:rPr>
                      </w:pPr>
                    </w:p>
                    <w:p w:rsidR="0010330F" w:rsidRPr="00877EB9" w:rsidRDefault="0010330F" w:rsidP="0010330F">
                      <w:pPr>
                        <w:pStyle w:val="RedBullets"/>
                        <w:numPr>
                          <w:ilvl w:val="0"/>
                          <w:numId w:val="0"/>
                        </w:numPr>
                        <w:jc w:val="right"/>
                        <w:rPr>
                          <w:rFonts w:asciiTheme="majorHAnsi" w:hAnsiTheme="majorHAnsi" w:cstheme="majorHAnsi"/>
                          <w:sz w:val="22"/>
                          <w:szCs w:val="22"/>
                          <w:lang w:val="nl-NL"/>
                        </w:rPr>
                      </w:pPr>
                      <w:proofErr w:type="spellStart"/>
                      <w:r w:rsidRPr="00877EB9">
                        <w:rPr>
                          <w:rFonts w:asciiTheme="majorHAnsi" w:hAnsiTheme="majorHAnsi" w:cstheme="majorHAnsi"/>
                          <w:sz w:val="22"/>
                          <w:szCs w:val="22"/>
                          <w:lang w:val="nl-NL"/>
                        </w:rPr>
                        <w:t>Herziene</w:t>
                      </w:r>
                      <w:proofErr w:type="spellEnd"/>
                      <w:r w:rsidRPr="00877EB9">
                        <w:rPr>
                          <w:rFonts w:asciiTheme="majorHAnsi" w:hAnsiTheme="majorHAnsi" w:cstheme="majorHAnsi"/>
                          <w:sz w:val="22"/>
                          <w:szCs w:val="22"/>
                          <w:lang w:val="nl-NL"/>
                        </w:rPr>
                        <w:t xml:space="preserve"> </w:t>
                      </w:r>
                      <w:r w:rsidRPr="00BF3398">
                        <w:rPr>
                          <w:rFonts w:asciiTheme="majorHAnsi" w:hAnsiTheme="majorHAnsi" w:cstheme="majorHAnsi"/>
                          <w:i/>
                          <w:sz w:val="22"/>
                          <w:szCs w:val="22"/>
                          <w:lang w:val="nl-NL"/>
                        </w:rPr>
                        <w:t>Standaarden</w:t>
                      </w:r>
                      <w:r w:rsidRPr="00877EB9">
                        <w:rPr>
                          <w:rFonts w:asciiTheme="majorHAnsi" w:hAnsiTheme="majorHAnsi" w:cstheme="majorHAnsi"/>
                          <w:sz w:val="22"/>
                          <w:szCs w:val="22"/>
                          <w:lang w:val="nl-NL"/>
                        </w:rPr>
                        <w:t xml:space="preserve"> die per 1 januari 2017 van kracht zijn</w:t>
                      </w:r>
                    </w:p>
                    <w:p w:rsidR="00570B1B" w:rsidRPr="00C06E0D" w:rsidRDefault="00570B1B" w:rsidP="00570B1B">
                      <w:pPr>
                        <w:pStyle w:val="RedBullets"/>
                        <w:numPr>
                          <w:ilvl w:val="0"/>
                          <w:numId w:val="0"/>
                        </w:numPr>
                        <w:rPr>
                          <w:rFonts w:asciiTheme="majorHAnsi" w:hAnsiTheme="majorHAnsi" w:cstheme="majorHAnsi"/>
                          <w:lang w:val="nl-NL"/>
                        </w:rPr>
                      </w:pPr>
                    </w:p>
                    <w:p w:rsidR="00570B1B" w:rsidRPr="00C06E0D" w:rsidRDefault="00570B1B" w:rsidP="00570B1B">
                      <w:pPr>
                        <w:pStyle w:val="RedBullets"/>
                        <w:numPr>
                          <w:ilvl w:val="0"/>
                          <w:numId w:val="0"/>
                        </w:numPr>
                        <w:rPr>
                          <w:rFonts w:asciiTheme="majorHAnsi" w:hAnsiTheme="majorHAnsi" w:cstheme="majorHAnsi"/>
                          <w:lang w:val="nl-NL"/>
                        </w:rPr>
                      </w:pPr>
                    </w:p>
                  </w:txbxContent>
                </v:textbox>
                <w10:wrap type="square" anchorx="margin" anchory="margin"/>
              </v:shape>
            </w:pict>
          </mc:Fallback>
        </mc:AlternateContent>
      </w:r>
    </w:p>
    <w:p w:rsidR="002F57B5" w:rsidRPr="00877EB9" w:rsidRDefault="00685768" w:rsidP="002F57B5">
      <w:pPr>
        <w:pStyle w:val="TemplateHeadline"/>
        <w:rPr>
          <w:rFonts w:asciiTheme="minorHAnsi" w:hAnsiTheme="minorHAnsi" w:cstheme="minorHAnsi"/>
          <w:lang w:val="nl-NL"/>
        </w:rPr>
      </w:pPr>
      <w:r w:rsidRPr="00877EB9">
        <w:rPr>
          <w:rFonts w:asciiTheme="minorHAnsi" w:hAnsiTheme="minorHAnsi" w:cstheme="minorHAnsi"/>
          <w:lang w:val="nl-NL"/>
        </w:rPr>
        <w:t xml:space="preserve">Inleiding </w:t>
      </w:r>
    </w:p>
    <w:p w:rsidR="00DD42EF" w:rsidRPr="00877EB9" w:rsidRDefault="00DD42EF" w:rsidP="00DD42EF">
      <w:pPr>
        <w:pStyle w:val="TemplateHeadline"/>
        <w:rPr>
          <w:rFonts w:asciiTheme="minorHAnsi" w:hAnsiTheme="minorHAnsi" w:cstheme="minorHAnsi"/>
          <w:color w:val="000000"/>
          <w:sz w:val="22"/>
          <w:szCs w:val="22"/>
          <w:lang w:val="nl-NL"/>
        </w:rPr>
      </w:pPr>
      <w:r w:rsidRPr="00877EB9">
        <w:rPr>
          <w:rFonts w:asciiTheme="minorHAnsi" w:hAnsiTheme="minorHAnsi" w:cstheme="minorHAnsi"/>
          <w:color w:val="000000"/>
          <w:sz w:val="22"/>
          <w:szCs w:val="22"/>
          <w:lang w:val="nl-NL"/>
        </w:rPr>
        <w:t xml:space="preserve">Het internal auditcharter is een belangrijk document, aangezien hierin het overeengekomen doel, de bevoegdheid en de verantwoordelijkheid van de internal auditfunctie van een organisatie wordt vastgelegd. Om dit document op te kunnen stellen, moet het hoofd van de internal auditfunctie (Chief Audit Executive (CAE)) zich eerst inzicht verschaffen in de missie van internal auditing en de verplichte elementen van het internationale raamwerk voor de beroepsuitoefening (International Professional </w:t>
      </w:r>
      <w:proofErr w:type="spellStart"/>
      <w:r w:rsidRPr="00877EB9">
        <w:rPr>
          <w:rFonts w:asciiTheme="minorHAnsi" w:hAnsiTheme="minorHAnsi" w:cstheme="minorHAnsi"/>
          <w:color w:val="000000"/>
          <w:sz w:val="22"/>
          <w:szCs w:val="22"/>
          <w:lang w:val="nl-NL"/>
        </w:rPr>
        <w:t>Practices</w:t>
      </w:r>
      <w:proofErr w:type="spellEnd"/>
      <w:r w:rsidRPr="00877EB9">
        <w:rPr>
          <w:rFonts w:asciiTheme="minorHAnsi" w:hAnsiTheme="minorHAnsi" w:cstheme="minorHAnsi"/>
          <w:color w:val="000000"/>
          <w:sz w:val="22"/>
          <w:szCs w:val="22"/>
          <w:lang w:val="nl-NL"/>
        </w:rPr>
        <w:t xml:space="preserve"> Framework (IPPF)) van het IIA — met inbegrip van de kernbeginselen van de beroepsuitoefening van internal auditing, de Gedragscode, de </w:t>
      </w:r>
      <w:r w:rsidRPr="00BF3398">
        <w:rPr>
          <w:rFonts w:asciiTheme="minorHAnsi" w:hAnsiTheme="minorHAnsi" w:cstheme="minorHAnsi"/>
          <w:i/>
          <w:color w:val="000000"/>
          <w:sz w:val="22"/>
          <w:szCs w:val="22"/>
          <w:lang w:val="nl-NL"/>
        </w:rPr>
        <w:t>Internationale Standaarden voor de Beroepsuitoefening van internal auditing</w:t>
      </w:r>
      <w:r w:rsidRPr="00877EB9">
        <w:rPr>
          <w:rFonts w:asciiTheme="minorHAnsi" w:hAnsiTheme="minorHAnsi" w:cstheme="minorHAnsi"/>
          <w:color w:val="000000"/>
          <w:sz w:val="22"/>
          <w:szCs w:val="22"/>
          <w:lang w:val="nl-NL"/>
        </w:rPr>
        <w:t>, en de definitie van internal auditing.</w:t>
      </w:r>
    </w:p>
    <w:p w:rsidR="00DD42EF" w:rsidRPr="00877EB9" w:rsidRDefault="00DD42EF" w:rsidP="00DD42EF">
      <w:pPr>
        <w:pStyle w:val="TemplateHeadline"/>
        <w:rPr>
          <w:rFonts w:asciiTheme="minorHAnsi" w:hAnsiTheme="minorHAnsi" w:cstheme="minorHAnsi"/>
          <w:color w:val="000000"/>
          <w:sz w:val="22"/>
          <w:szCs w:val="22"/>
          <w:lang w:val="nl-NL"/>
        </w:rPr>
      </w:pPr>
      <w:r w:rsidRPr="00877EB9">
        <w:rPr>
          <w:rFonts w:asciiTheme="minorHAnsi" w:hAnsiTheme="minorHAnsi" w:cstheme="minorHAnsi"/>
          <w:color w:val="000000"/>
          <w:sz w:val="22"/>
          <w:szCs w:val="22"/>
          <w:lang w:val="nl-NL"/>
        </w:rPr>
        <w:t>Dit inzicht vormt de basis voor een bespreking van de CAE met het senior management en het bestuur om het onderling eens te worden over:</w:t>
      </w:r>
    </w:p>
    <w:p w:rsidR="00DD42EF" w:rsidRPr="00877EB9" w:rsidRDefault="00DD42EF" w:rsidP="00DD42EF">
      <w:pPr>
        <w:pStyle w:val="RedBullets"/>
        <w:rPr>
          <w:rFonts w:asciiTheme="minorHAnsi" w:hAnsiTheme="minorHAnsi" w:cstheme="minorHAnsi"/>
          <w:sz w:val="22"/>
          <w:szCs w:val="22"/>
          <w:lang w:val="nl-NL"/>
        </w:rPr>
      </w:pPr>
      <w:r w:rsidRPr="00877EB9">
        <w:rPr>
          <w:rFonts w:asciiTheme="minorHAnsi" w:hAnsiTheme="minorHAnsi" w:cstheme="minorHAnsi"/>
          <w:sz w:val="22"/>
          <w:szCs w:val="22"/>
          <w:lang w:val="nl-NL"/>
        </w:rPr>
        <w:t>Doelstellingen en verantwoordelijkheden van internal auditing.</w:t>
      </w:r>
    </w:p>
    <w:p w:rsidR="00DD42EF" w:rsidRPr="00877EB9" w:rsidRDefault="00DD42EF" w:rsidP="00DD42EF">
      <w:pPr>
        <w:pStyle w:val="RedBullets"/>
        <w:rPr>
          <w:rFonts w:asciiTheme="minorHAnsi" w:hAnsiTheme="minorHAnsi" w:cstheme="minorHAnsi"/>
          <w:sz w:val="22"/>
          <w:szCs w:val="22"/>
          <w:lang w:val="nl-NL"/>
        </w:rPr>
      </w:pPr>
      <w:r w:rsidRPr="00877EB9">
        <w:rPr>
          <w:rFonts w:asciiTheme="minorHAnsi" w:hAnsiTheme="minorHAnsi" w:cstheme="minorHAnsi"/>
          <w:sz w:val="22"/>
          <w:szCs w:val="22"/>
          <w:lang w:val="nl-NL"/>
        </w:rPr>
        <w:t>De verwachtingen voor de internal auditfunctie.</w:t>
      </w:r>
    </w:p>
    <w:p w:rsidR="00DD42EF" w:rsidRPr="00877EB9" w:rsidRDefault="00DD42EF" w:rsidP="00DD42EF">
      <w:pPr>
        <w:pStyle w:val="RedBullets"/>
        <w:rPr>
          <w:rFonts w:asciiTheme="minorHAnsi" w:hAnsiTheme="minorHAnsi" w:cstheme="minorHAnsi"/>
          <w:sz w:val="22"/>
          <w:szCs w:val="22"/>
          <w:lang w:val="nl-NL"/>
        </w:rPr>
      </w:pPr>
      <w:r w:rsidRPr="00877EB9">
        <w:rPr>
          <w:rFonts w:asciiTheme="minorHAnsi" w:hAnsiTheme="minorHAnsi" w:cstheme="minorHAnsi"/>
          <w:sz w:val="22"/>
          <w:szCs w:val="22"/>
          <w:lang w:val="nl-NL"/>
        </w:rPr>
        <w:t>De functionele en administratieve rapportagelijnen van de CAE.</w:t>
      </w:r>
    </w:p>
    <w:p w:rsidR="00DD42EF" w:rsidRPr="00877EB9" w:rsidRDefault="00DD42EF" w:rsidP="00DD42EF">
      <w:pPr>
        <w:pStyle w:val="RedBullets"/>
        <w:rPr>
          <w:rFonts w:asciiTheme="minorHAnsi" w:hAnsiTheme="minorHAnsi" w:cstheme="minorHAnsi"/>
          <w:sz w:val="22"/>
          <w:szCs w:val="22"/>
          <w:lang w:val="nl-NL"/>
        </w:rPr>
      </w:pPr>
      <w:r w:rsidRPr="00877EB9">
        <w:rPr>
          <w:rFonts w:asciiTheme="minorHAnsi" w:hAnsiTheme="minorHAnsi" w:cstheme="minorHAnsi"/>
          <w:sz w:val="22"/>
          <w:szCs w:val="22"/>
          <w:lang w:val="nl-NL"/>
        </w:rPr>
        <w:t>Het bevoegdheidsniveau (inclusief toegang tot gegevens, fysieke eigendommen en personeel) dat voor de internal auditfunctie vereist is om opdrachten uit te voeren en de overeengekomen doelstellingen en verantwoordelijkheden na te komen.</w:t>
      </w:r>
    </w:p>
    <w:p w:rsidR="00A809CE" w:rsidRPr="00877EB9" w:rsidRDefault="00A809CE" w:rsidP="00A809CE">
      <w:pPr>
        <w:pStyle w:val="Geenafstand"/>
        <w:rPr>
          <w:rFonts w:cstheme="minorHAnsi"/>
          <w:sz w:val="22"/>
          <w:szCs w:val="22"/>
          <w:lang w:val="nl-NL"/>
        </w:rPr>
      </w:pPr>
    </w:p>
    <w:p w:rsidR="002B36B4" w:rsidRPr="00877EB9" w:rsidRDefault="00DD42EF" w:rsidP="00DD42EF">
      <w:pPr>
        <w:pStyle w:val="TemplateHeadline"/>
        <w:rPr>
          <w:rFonts w:asciiTheme="minorHAnsi" w:hAnsiTheme="minorHAnsi" w:cstheme="minorHAnsi"/>
          <w:color w:val="000000"/>
          <w:sz w:val="22"/>
          <w:szCs w:val="22"/>
          <w:lang w:val="nl-NL"/>
        </w:rPr>
      </w:pPr>
      <w:r w:rsidRPr="00877EB9">
        <w:rPr>
          <w:rFonts w:asciiTheme="minorHAnsi" w:hAnsiTheme="minorHAnsi" w:cstheme="minorHAnsi"/>
          <w:color w:val="000000"/>
          <w:sz w:val="22"/>
          <w:szCs w:val="22"/>
          <w:lang w:val="nl-NL"/>
        </w:rPr>
        <w:lastRenderedPageBreak/>
        <w:t>De CAE kan mogelijk met de raadsman van de organisatie of de secretaris van het bestuur overleggen over het geprefereerde formaat voor charters en de wijze waarop het voorgestelde internal auditcharter effectief en efficiënt ter goedkeuring kan worden voorgelegd aan het bestuur.</w:t>
      </w:r>
    </w:p>
    <w:p w:rsidR="00A809CE" w:rsidRPr="00877EB9" w:rsidRDefault="00A809CE" w:rsidP="00DD42EF">
      <w:pPr>
        <w:pStyle w:val="TemplateHeadline"/>
        <w:rPr>
          <w:rFonts w:asciiTheme="minorHAnsi" w:hAnsiTheme="minorHAnsi" w:cstheme="minorHAnsi"/>
          <w:color w:val="000000"/>
          <w:sz w:val="22"/>
          <w:szCs w:val="22"/>
          <w:lang w:val="nl-NL"/>
        </w:rPr>
      </w:pPr>
    </w:p>
    <w:p w:rsidR="002F57B5" w:rsidRPr="00877EB9" w:rsidRDefault="00685768" w:rsidP="002F57B5">
      <w:pPr>
        <w:pStyle w:val="TemplateHeadline"/>
        <w:rPr>
          <w:rFonts w:asciiTheme="minorHAnsi" w:hAnsiTheme="minorHAnsi" w:cstheme="minorHAnsi"/>
          <w:lang w:val="nl-NL"/>
        </w:rPr>
      </w:pPr>
      <w:r w:rsidRPr="00877EB9">
        <w:rPr>
          <w:rFonts w:asciiTheme="minorHAnsi" w:hAnsiTheme="minorHAnsi" w:cstheme="minorHAnsi"/>
          <w:lang w:val="nl-NL"/>
        </w:rPr>
        <w:t xml:space="preserve">Overwegingen bij de implementatie </w:t>
      </w:r>
    </w:p>
    <w:p w:rsidR="002B36B4" w:rsidRPr="00877EB9" w:rsidRDefault="002B36B4" w:rsidP="002B36B4">
      <w:pPr>
        <w:pStyle w:val="TemplateHeadline"/>
        <w:rPr>
          <w:rFonts w:asciiTheme="minorHAnsi" w:hAnsiTheme="minorHAnsi" w:cstheme="minorHAnsi"/>
          <w:color w:val="000000"/>
          <w:sz w:val="22"/>
          <w:szCs w:val="22"/>
          <w:lang w:val="nl-NL"/>
        </w:rPr>
      </w:pPr>
      <w:r w:rsidRPr="00877EB9">
        <w:rPr>
          <w:rFonts w:asciiTheme="minorHAnsi" w:hAnsiTheme="minorHAnsi" w:cstheme="minorHAnsi"/>
          <w:color w:val="000000"/>
          <w:sz w:val="22"/>
          <w:szCs w:val="22"/>
          <w:lang w:val="nl-NL"/>
        </w:rPr>
        <w:t>Op basis van de overeengekomen elementen, zoals hierboven vermeld, stelt de CAE (of een afgevaardigde) een internal auditcharter op. Het IIA biedt een model internal auditcharter dat als richtlijn kan worden gebruikt. Hoewel de charters per organisatie kunnen verschillen, bevatten ze meestal de volgende onderdelen:</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Inleiding</w:t>
      </w:r>
      <w:r w:rsidRPr="00877EB9">
        <w:rPr>
          <w:rFonts w:asciiTheme="minorHAnsi" w:hAnsiTheme="minorHAnsi" w:cstheme="minorHAnsi"/>
          <w:sz w:val="22"/>
          <w:szCs w:val="22"/>
          <w:lang w:val="nl-NL"/>
        </w:rPr>
        <w:t xml:space="preserve"> – om de algemene rol en professionaliteit van de internal auditfunctie uit te leggen. Relevante elementen van het IPPF worden vaak in de inleiding vermeld.</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Bevoegdheid</w:t>
      </w:r>
      <w:r w:rsidRPr="00877EB9">
        <w:rPr>
          <w:rFonts w:asciiTheme="minorHAnsi" w:hAnsiTheme="minorHAnsi" w:cstheme="minorHAnsi"/>
          <w:sz w:val="22"/>
          <w:szCs w:val="22"/>
          <w:lang w:val="nl-NL"/>
        </w:rPr>
        <w:t xml:space="preserve"> – voor het specificeren van de volledige toegang van de internal auditfunctie tot de gegevens, fysieke eigendommen en de medewerkers die nodig zijn om opdrachten uit te voeren en voor het vaststellen van de verantwoordelijkheid van de internal auditors voor het beschermen van activa en vertrouwelijkheid.</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Organisatie en rapportagestructuur</w:t>
      </w:r>
      <w:r w:rsidRPr="00877EB9">
        <w:rPr>
          <w:rFonts w:asciiTheme="minorHAnsi" w:hAnsiTheme="minorHAnsi" w:cstheme="minorHAnsi"/>
          <w:sz w:val="22"/>
          <w:szCs w:val="22"/>
          <w:lang w:val="nl-NL"/>
        </w:rPr>
        <w:t xml:space="preserve"> – om de rapportagestructuur van de CAE te documenteren. De CAE dient functioneel aan het bestuur te rapporteren en administratief aan een niveau binnen de organisatie dat het mogelijk maakt dat de internal auditfunctie haar verantwoordelijkheden kan dragen (zie Standaard 1110 – Organisatorische onafhankelijkheid). Dit onderdeel kan dieper ingaan op specifieke functionele verantwoordelijkheden, zoals het goedkeuren van het charter- en internal auditplan en het in dienst nemen, vergoeden en ontslaan van de CAE. Het kan ook administratieve verantwoordelijkheden omschrijven, zoals het ondersteunen van de informatiestroom binnen de organisatie of het goedkeuren van het human resource management en de budgetten van de internal auditfunctie.</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Onafhankelijkheid en objectiviteit</w:t>
      </w:r>
      <w:r w:rsidRPr="00877EB9">
        <w:rPr>
          <w:rFonts w:asciiTheme="minorHAnsi" w:hAnsiTheme="minorHAnsi" w:cstheme="minorHAnsi"/>
          <w:sz w:val="22"/>
          <w:szCs w:val="22"/>
          <w:lang w:val="nl-NL"/>
        </w:rPr>
        <w:t xml:space="preserve"> – om het belang van onafhankelijkheid en objectiviteit van de internal auditfunctie te beschrijven en hoe deze zullen worden gehandhaafd, zoals verbieden dat internal auditors operationele verantwoordelijkheid of bevoegdheden hebben voor activiteiten waarvoor zij in het verleden verantwoordelijk waren.</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lastRenderedPageBreak/>
        <w:t>Verantwoordelijkheden</w:t>
      </w:r>
      <w:r w:rsidRPr="00877EB9">
        <w:rPr>
          <w:rFonts w:asciiTheme="minorHAnsi" w:hAnsiTheme="minorHAnsi" w:cstheme="minorHAnsi"/>
          <w:sz w:val="22"/>
          <w:szCs w:val="22"/>
          <w:lang w:val="nl-NL"/>
        </w:rPr>
        <w:t xml:space="preserve"> – het vastleggen van belangrijke gebieden van doorlopende verantwoordelijkheid, zoals het bepalen van de reikwijdte van beoordelingen, het opstellen van een internal auditplan, het bij het bestuur indienen van het plan voor goedkeuring, het uitvoeren van opdrachten, het communiceren van de resultaten, het verstrekken van een schriftelijk opdrachtrapport, en het monitoren van verbeteracties die door het management zijn ondernomen.</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Kwaliteitsbewaking en -verbetering</w:t>
      </w:r>
      <w:r w:rsidRPr="00877EB9">
        <w:rPr>
          <w:rFonts w:asciiTheme="minorHAnsi" w:hAnsiTheme="minorHAnsi" w:cstheme="minorHAnsi"/>
          <w:sz w:val="22"/>
          <w:szCs w:val="22"/>
          <w:lang w:val="nl-NL"/>
        </w:rPr>
        <w:t xml:space="preserve"> – voor het beschrijven van de verwachtingen voor het ontwikkelen, onderhouden, beoordelen en communiceren van de resultaten van een kwaliteitsbewakings- en verbeterprogramma dat alle aspecten van de internal auditfunctie omvat.</w:t>
      </w:r>
    </w:p>
    <w:p w:rsidR="002B36B4" w:rsidRPr="00877EB9" w:rsidRDefault="002B36B4" w:rsidP="002B36B4">
      <w:pPr>
        <w:pStyle w:val="RedBullets"/>
        <w:rPr>
          <w:rFonts w:asciiTheme="minorHAnsi" w:hAnsiTheme="minorHAnsi" w:cstheme="minorHAnsi"/>
          <w:sz w:val="22"/>
          <w:szCs w:val="22"/>
          <w:lang w:val="nl-NL"/>
        </w:rPr>
      </w:pPr>
      <w:r w:rsidRPr="00877EB9">
        <w:rPr>
          <w:rFonts w:asciiTheme="minorHAnsi" w:hAnsiTheme="minorHAnsi" w:cstheme="minorHAnsi"/>
          <w:b/>
          <w:sz w:val="22"/>
          <w:szCs w:val="22"/>
          <w:lang w:val="nl-NL"/>
        </w:rPr>
        <w:t>Handtekeningen</w:t>
      </w:r>
      <w:r w:rsidRPr="00877EB9">
        <w:rPr>
          <w:rFonts w:asciiTheme="minorHAnsi" w:hAnsiTheme="minorHAnsi" w:cstheme="minorHAnsi"/>
          <w:sz w:val="22"/>
          <w:szCs w:val="22"/>
          <w:lang w:val="nl-NL"/>
        </w:rPr>
        <w:t xml:space="preserve"> – om overeenstemming tussen de CAE, een aangewezen </w:t>
      </w:r>
      <w:proofErr w:type="spellStart"/>
      <w:r w:rsidRPr="00877EB9">
        <w:rPr>
          <w:rFonts w:asciiTheme="minorHAnsi" w:hAnsiTheme="minorHAnsi" w:cstheme="minorHAnsi"/>
          <w:sz w:val="22"/>
          <w:szCs w:val="22"/>
          <w:lang w:val="nl-NL"/>
        </w:rPr>
        <w:t>bestuursvertegenwoordiger</w:t>
      </w:r>
      <w:proofErr w:type="spellEnd"/>
      <w:r w:rsidRPr="00877EB9">
        <w:rPr>
          <w:rFonts w:asciiTheme="minorHAnsi" w:hAnsiTheme="minorHAnsi" w:cstheme="minorHAnsi"/>
          <w:sz w:val="22"/>
          <w:szCs w:val="22"/>
          <w:lang w:val="nl-NL"/>
        </w:rPr>
        <w:t>, en de persoon aan wie de CAE rapporteert te documenteren. In dit deel worden datum, namen en functies van ondertekenaars vermeld.</w:t>
      </w:r>
    </w:p>
    <w:p w:rsidR="00A809CE" w:rsidRPr="00877EB9" w:rsidRDefault="00A809CE" w:rsidP="00A809CE">
      <w:pPr>
        <w:pStyle w:val="Geenafstand"/>
        <w:rPr>
          <w:rFonts w:cstheme="minorHAnsi"/>
          <w:sz w:val="22"/>
          <w:szCs w:val="22"/>
          <w:lang w:val="nl-NL"/>
        </w:rPr>
      </w:pPr>
    </w:p>
    <w:p w:rsidR="002F57B5" w:rsidRDefault="002B36B4" w:rsidP="002B36B4">
      <w:pPr>
        <w:pStyle w:val="TemplateHeadline"/>
        <w:rPr>
          <w:rFonts w:asciiTheme="minorHAnsi" w:hAnsiTheme="minorHAnsi" w:cstheme="minorHAnsi"/>
          <w:color w:val="000000"/>
          <w:sz w:val="22"/>
          <w:szCs w:val="22"/>
          <w:lang w:val="nl-NL"/>
        </w:rPr>
      </w:pPr>
      <w:r w:rsidRPr="00877EB9">
        <w:rPr>
          <w:rFonts w:asciiTheme="minorHAnsi" w:hAnsiTheme="minorHAnsi" w:cstheme="minorHAnsi"/>
          <w:color w:val="000000"/>
          <w:sz w:val="22"/>
          <w:szCs w:val="22"/>
          <w:lang w:val="nl-NL"/>
        </w:rPr>
        <w:t>Als het voorgestelde ontwerp van het internal auditcharter is opgesteld, dient het te worden besproken met het senior management en het bestuur om te bevestigen dat het de overeengekomen rol en verwachtingen correct omschrijft of om gewenste veranderingen vast te stellen. Zodra het ontwerp is geaccepteerd, presenteert de CAE het formeel tijdens een bestuursvergadering om te worden besproken en goedgekeurd. De CAE en het bestuur kunnen ook afspraken maken over de frequentie waarmee wordt beoordeeld en herbevestigen of de bepalingen van de overeenkomst de internal auditfunctie de mogelijkheid blijven bieden om haar doelstellingen te verwezenlijken of dat eventuele wijzigingen gerechtvaardigd zijn. Indien in de tussentijd een vraag rijst, kan naar het charter worden verwezen en kan dit voor zover nodig worden bijgewerkt.</w:t>
      </w:r>
    </w:p>
    <w:p w:rsidR="00B37B95" w:rsidRPr="00877EB9" w:rsidRDefault="00B37B95" w:rsidP="002B36B4">
      <w:pPr>
        <w:pStyle w:val="TemplateHeadline"/>
        <w:rPr>
          <w:rFonts w:asciiTheme="minorHAnsi" w:hAnsiTheme="minorHAnsi" w:cstheme="minorHAnsi"/>
          <w:color w:val="000000"/>
          <w:sz w:val="22"/>
          <w:szCs w:val="22"/>
          <w:lang w:val="nl-NL"/>
        </w:rPr>
      </w:pPr>
    </w:p>
    <w:p w:rsidR="002B36B4" w:rsidRPr="00877EB9" w:rsidRDefault="002B36B4" w:rsidP="0010330F">
      <w:pPr>
        <w:pStyle w:val="Geenafstand"/>
        <w:rPr>
          <w:rFonts w:cstheme="minorHAnsi"/>
          <w:sz w:val="22"/>
          <w:szCs w:val="22"/>
          <w:lang w:val="nl-NL"/>
        </w:rPr>
      </w:pPr>
    </w:p>
    <w:p w:rsidR="002F57B5" w:rsidRPr="00877EB9" w:rsidRDefault="00685768" w:rsidP="002F57B5">
      <w:pPr>
        <w:pStyle w:val="TemplateHeadline"/>
        <w:rPr>
          <w:rFonts w:asciiTheme="minorHAnsi" w:hAnsiTheme="minorHAnsi" w:cstheme="minorHAnsi"/>
          <w:lang w:val="nl-NL"/>
        </w:rPr>
      </w:pPr>
      <w:r w:rsidRPr="00877EB9">
        <w:rPr>
          <w:rFonts w:asciiTheme="minorHAnsi" w:hAnsiTheme="minorHAnsi" w:cstheme="minorHAnsi"/>
          <w:lang w:val="nl-NL"/>
        </w:rPr>
        <w:t>Overwegingen b</w:t>
      </w:r>
      <w:r w:rsidR="002F57B5" w:rsidRPr="00877EB9">
        <w:rPr>
          <w:rFonts w:asciiTheme="minorHAnsi" w:hAnsiTheme="minorHAnsi" w:cstheme="minorHAnsi"/>
          <w:lang w:val="nl-NL"/>
        </w:rPr>
        <w:t>ij het aantonen van de naleving</w:t>
      </w:r>
    </w:p>
    <w:p w:rsidR="00877EB9" w:rsidRDefault="00955A3E" w:rsidP="00443735">
      <w:pPr>
        <w:pStyle w:val="TemplateBodyText"/>
        <w:rPr>
          <w:rFonts w:asciiTheme="minorHAnsi" w:hAnsiTheme="minorHAnsi" w:cstheme="minorHAnsi"/>
          <w:sz w:val="22"/>
          <w:szCs w:val="22"/>
          <w:lang w:val="nl-NL"/>
        </w:rPr>
      </w:pPr>
      <w:r w:rsidRPr="00877EB9">
        <w:rPr>
          <w:rFonts w:asciiTheme="minorHAnsi" w:hAnsiTheme="minorHAnsi" w:cstheme="minorHAnsi"/>
          <w:sz w:val="22"/>
          <w:szCs w:val="22"/>
          <w:lang w:val="nl-NL"/>
        </w:rPr>
        <w:t xml:space="preserve">De notulen van de bestuursvergaderingen waarin de CAE in eerste instantie het internal auditcharter bespreekt en vervolgens formeel presenteert, bieden documentatie over naleving. Daarnaast behoudt de CAE het goedgekeurde charter. De CAE vraagt het bestuur doorgaans om een permanent jaarlijks agendapunt te creëren voor het bespreken, bijwerken en goedkeuren van het internal auditcharter, voor zover nodig. De notulen van die vergaderingen bieden ook bewijs dat de CAE periodiek het internal </w:t>
      </w:r>
      <w:r w:rsidRPr="00877EB9">
        <w:rPr>
          <w:rFonts w:asciiTheme="minorHAnsi" w:hAnsiTheme="minorHAnsi" w:cstheme="minorHAnsi"/>
          <w:sz w:val="22"/>
          <w:szCs w:val="22"/>
          <w:lang w:val="nl-NL"/>
        </w:rPr>
        <w:lastRenderedPageBreak/>
        <w:t>auditcharter met senior management en het bestuur beoordeelt.</w:t>
      </w:r>
    </w:p>
    <w:p w:rsidR="002F57B5" w:rsidRPr="00877EB9" w:rsidRDefault="00B37B95" w:rsidP="00443735">
      <w:pPr>
        <w:pStyle w:val="TemplateBodyText"/>
        <w:rPr>
          <w:rFonts w:asciiTheme="minorHAnsi" w:hAnsiTheme="minorHAnsi" w:cstheme="minorHAnsi"/>
          <w:sz w:val="22"/>
          <w:szCs w:val="22"/>
          <w:lang w:val="nl-NL"/>
        </w:rPr>
      </w:pPr>
      <w:r w:rsidRPr="00877EB9">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margin">
                  <wp:align>bottom</wp:align>
                </wp:positionV>
                <wp:extent cx="6400800" cy="5162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625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52.8pt;margin-top:0;width:7in;height:406.5pt;z-index:251660288;visibility:visible;mso-wrap-style:square;mso-height-percent:0;mso-wrap-distance-left:9pt;mso-wrap-distance-top:3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9S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margin"/>
              </v:shape>
            </w:pict>
          </mc:Fallback>
        </mc:AlternateContent>
      </w:r>
    </w:p>
    <w:sectPr w:rsidR="002F57B5" w:rsidRPr="00877EB9"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856" w:rsidRDefault="008C38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8C3856">
      <w:rPr>
        <w:rStyle w:val="Paginanummer"/>
        <w:noProof/>
        <w:color w:val="535953"/>
        <w:sz w:val="16"/>
        <w:szCs w:val="16"/>
      </w:rPr>
      <w:t>5</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8C3856">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Implementatierichtlijn 10</w:t>
                          </w:r>
                          <w:r w:rsidR="00C06E0D">
                            <w:rPr>
                              <w:rFonts w:ascii="Arial" w:hAnsi="Arial" w:cs="Arial"/>
                              <w:color w:val="0F1F4B"/>
                              <w:lang w:val="nl-NL"/>
                            </w:rPr>
                            <w:t>0</w:t>
                          </w:r>
                          <w:r w:rsidR="002F57B5">
                            <w:rPr>
                              <w:rFonts w:ascii="Arial" w:hAnsi="Arial" w:cs="Arial"/>
                              <w:color w:val="0F1F4B"/>
                              <w:lang w:val="nl-NL"/>
                            </w:rPr>
                            <w:t>0</w:t>
                          </w:r>
                          <w:r w:rsidR="002F57B5">
                            <w:rPr>
                              <w:rFonts w:ascii="Arial" w:hAnsi="Arial" w:cs="Arial"/>
                              <w:color w:val="002239" w:themeColor="text2" w:themeShade="80"/>
                              <w:lang w:val="nl-NL"/>
                            </w:rPr>
                            <w:t xml:space="preserve"> </w:t>
                          </w:r>
                          <w:r w:rsidR="008C3856">
                            <w:rPr>
                              <w:rFonts w:ascii="Arial" w:hAnsi="Arial" w:cs="Arial"/>
                              <w:color w:val="002239" w:themeColor="text2" w:themeShade="80"/>
                              <w:lang w:val="nl-NL"/>
                            </w:rPr>
                            <w:t xml:space="preserve">- </w:t>
                          </w:r>
                          <w:r w:rsidR="00C06E0D">
                            <w:rPr>
                              <w:rFonts w:ascii="Arial" w:hAnsi="Arial" w:cs="Arial"/>
                              <w:color w:val="002239" w:themeColor="text2" w:themeShade="80"/>
                              <w:lang w:val="nl-NL"/>
                            </w:rPr>
                            <w:t>Doel, bevoegdheid en verantwoordelijkheid</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Implementatierichtlijn 10</w:t>
                    </w:r>
                    <w:r w:rsidR="00C06E0D">
                      <w:rPr>
                        <w:rFonts w:ascii="Arial" w:hAnsi="Arial" w:cs="Arial"/>
                        <w:color w:val="0F1F4B"/>
                        <w:lang w:val="nl-NL"/>
                      </w:rPr>
                      <w:t>0</w:t>
                    </w:r>
                    <w:r w:rsidR="002F57B5">
                      <w:rPr>
                        <w:rFonts w:ascii="Arial" w:hAnsi="Arial" w:cs="Arial"/>
                        <w:color w:val="0F1F4B"/>
                        <w:lang w:val="nl-NL"/>
                      </w:rPr>
                      <w:t>0</w:t>
                    </w:r>
                    <w:r w:rsidR="002F57B5">
                      <w:rPr>
                        <w:rFonts w:ascii="Arial" w:hAnsi="Arial" w:cs="Arial"/>
                        <w:color w:val="002239" w:themeColor="text2" w:themeShade="80"/>
                        <w:lang w:val="nl-NL"/>
                      </w:rPr>
                      <w:t xml:space="preserve"> </w:t>
                    </w:r>
                    <w:r w:rsidR="008C3856">
                      <w:rPr>
                        <w:rFonts w:ascii="Arial" w:hAnsi="Arial" w:cs="Arial"/>
                        <w:color w:val="002239" w:themeColor="text2" w:themeShade="80"/>
                        <w:lang w:val="nl-NL"/>
                      </w:rPr>
                      <w:t xml:space="preserve">- </w:t>
                    </w:r>
                    <w:r w:rsidR="00C06E0D">
                      <w:rPr>
                        <w:rFonts w:ascii="Arial" w:hAnsi="Arial" w:cs="Arial"/>
                        <w:color w:val="002239" w:themeColor="text2" w:themeShade="80"/>
                        <w:lang w:val="nl-NL"/>
                      </w:rPr>
                      <w:t>Doel, bevoegdheid en verantwoordelijkheid</w:t>
                    </w:r>
                  </w:p>
                </w:txbxContent>
              </v:textbox>
              <w10:wrap type="through" anchorx="margin" anchory="margin"/>
            </v:shape>
          </w:pict>
        </mc:Fallback>
      </mc:AlternateContent>
    </w:r>
    <w:bookmarkStart w:id="0" w:name="_GoBack"/>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0330F"/>
    <w:rsid w:val="001B11A8"/>
    <w:rsid w:val="00284E07"/>
    <w:rsid w:val="002B36B4"/>
    <w:rsid w:val="002C0B84"/>
    <w:rsid w:val="002F57B5"/>
    <w:rsid w:val="003411A0"/>
    <w:rsid w:val="00443735"/>
    <w:rsid w:val="00570B1B"/>
    <w:rsid w:val="005A0CAD"/>
    <w:rsid w:val="005C501B"/>
    <w:rsid w:val="00665553"/>
    <w:rsid w:val="00685768"/>
    <w:rsid w:val="007201D2"/>
    <w:rsid w:val="0081412E"/>
    <w:rsid w:val="00877EB9"/>
    <w:rsid w:val="008C3856"/>
    <w:rsid w:val="008D1B9A"/>
    <w:rsid w:val="008F2569"/>
    <w:rsid w:val="00955A3E"/>
    <w:rsid w:val="0097657B"/>
    <w:rsid w:val="00A03C2A"/>
    <w:rsid w:val="00A60C13"/>
    <w:rsid w:val="00A809CE"/>
    <w:rsid w:val="00A96503"/>
    <w:rsid w:val="00AA0CBD"/>
    <w:rsid w:val="00B37B95"/>
    <w:rsid w:val="00BC3D33"/>
    <w:rsid w:val="00BF3398"/>
    <w:rsid w:val="00C06E0D"/>
    <w:rsid w:val="00C6368B"/>
    <w:rsid w:val="00DD42EF"/>
    <w:rsid w:val="00DF51BE"/>
    <w:rsid w:val="00E659E4"/>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unhideWhenUsed/>
    <w:qFormat/>
    <w:rsid w:val="00A60C13"/>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character" w:customStyle="1" w:styleId="Kop2Char">
    <w:name w:val="Kop 2 Char"/>
    <w:basedOn w:val="Standaardalinea-lettertype"/>
    <w:link w:val="Kop2"/>
    <w:uiPriority w:val="9"/>
    <w:rsid w:val="00A60C13"/>
    <w:rPr>
      <w:rFonts w:asciiTheme="majorHAnsi" w:eastAsiaTheme="majorEastAsia" w:hAnsiTheme="majorHAnsi" w:cstheme="majorBidi"/>
      <w:color w:val="006A9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882D1-413E-49E9-8849-36B212FC27DF}">
  <ds:schemaRefs>
    <ds:schemaRef ds:uri="http://schemas.openxmlformats.org/officeDocument/2006/bibliography"/>
  </ds:schemaRefs>
</ds:datastoreItem>
</file>

<file path=customXml/itemProps2.xml><?xml version="1.0" encoding="utf-8"?>
<ds:datastoreItem xmlns:ds="http://schemas.openxmlformats.org/officeDocument/2006/customXml" ds:itemID="{E948AD69-1F0F-4CEE-871C-EEAD21CF28C3}"/>
</file>

<file path=customXml/itemProps3.xml><?xml version="1.0" encoding="utf-8"?>
<ds:datastoreItem xmlns:ds="http://schemas.openxmlformats.org/officeDocument/2006/customXml" ds:itemID="{691B9B58-15D8-467F-98A0-CE869B6A8945}"/>
</file>

<file path=customXml/itemProps4.xml><?xml version="1.0" encoding="utf-8"?>
<ds:datastoreItem xmlns:ds="http://schemas.openxmlformats.org/officeDocument/2006/customXml" ds:itemID="{0C5C2D85-6C91-4D0F-B498-ABBB8BEEB567}"/>
</file>

<file path=docProps/app.xml><?xml version="1.0" encoding="utf-8"?>
<Properties xmlns="http://schemas.openxmlformats.org/officeDocument/2006/extended-properties" xmlns:vt="http://schemas.openxmlformats.org/officeDocument/2006/docPropsVTypes">
  <Template>F58D855A</Template>
  <TotalTime>17</TotalTime>
  <Pages>5</Pages>
  <Words>913</Words>
  <Characters>5026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18</cp:revision>
  <dcterms:created xsi:type="dcterms:W3CDTF">2017-08-18T09:38:00Z</dcterms:created>
  <dcterms:modified xsi:type="dcterms:W3CDTF">2017-08-21T12:17:00Z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