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7B5" w:rsidRPr="0025165D" w:rsidRDefault="00C6368B" w:rsidP="00FF046F">
      <w:pPr>
        <w:pStyle w:val="Geenafstand"/>
        <w:rPr>
          <w:rFonts w:cstheme="minorHAnsi"/>
          <w:lang w:val="nl-NL"/>
        </w:rPr>
      </w:pPr>
      <w:r w:rsidRPr="0025165D">
        <w:rPr>
          <w:rFonts w:cstheme="minorHAnsi"/>
          <w:noProof/>
          <w:lang w:val="nl-NL" w:eastAsia="nl-NL"/>
        </w:rPr>
        <mc:AlternateContent>
          <mc:Choice Requires="wps">
            <w:drawing>
              <wp:anchor distT="2103120" distB="274320" distL="114300" distR="114300" simplePos="0" relativeHeight="251658240" behindDoc="0" locked="0" layoutInCell="1" allowOverlap="1" wp14:anchorId="77BB7B64" wp14:editId="6E799E7E">
                <wp:simplePos x="0" y="0"/>
                <wp:positionH relativeFrom="margin">
                  <wp:align>left</wp:align>
                </wp:positionH>
                <wp:positionV relativeFrom="margin">
                  <wp:posOffset>1504950</wp:posOffset>
                </wp:positionV>
                <wp:extent cx="6429375" cy="6362700"/>
                <wp:effectExtent l="0" t="0" r="9525" b="0"/>
                <wp:wrapSquare wrapText="bothSides"/>
                <wp:docPr id="5" name="Text Box 5"/>
                <wp:cNvGraphicFramePr/>
                <a:graphic xmlns:a="http://schemas.openxmlformats.org/drawingml/2006/main">
                  <a:graphicData uri="http://schemas.microsoft.com/office/word/2010/wordprocessingShape">
                    <wps:wsp>
                      <wps:cNvSpPr txBox="1"/>
                      <wps:spPr>
                        <a:xfrm>
                          <a:off x="0" y="0"/>
                          <a:ext cx="6429375" cy="6362700"/>
                        </a:xfrm>
                        <a:prstGeom prst="rect">
                          <a:avLst/>
                        </a:prstGeom>
                        <a:solidFill>
                          <a:schemeClr val="bg1">
                            <a:lumMod val="85000"/>
                          </a:schemeClr>
                        </a:solid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2F57B5" w:rsidRPr="00B96E34" w:rsidRDefault="00665553" w:rsidP="002F57B5">
                            <w:pPr>
                              <w:pStyle w:val="TemplateHeadline"/>
                              <w:rPr>
                                <w:rFonts w:asciiTheme="majorHAnsi" w:hAnsiTheme="majorHAnsi" w:cstheme="majorHAnsi"/>
                                <w:lang w:val="nl-NL"/>
                              </w:rPr>
                            </w:pPr>
                            <w:r w:rsidRPr="00B96E34">
                              <w:rPr>
                                <w:rFonts w:asciiTheme="majorHAnsi" w:hAnsiTheme="majorHAnsi" w:cstheme="majorHAnsi"/>
                                <w:lang w:val="nl-NL"/>
                              </w:rPr>
                              <w:t xml:space="preserve">Standaard </w:t>
                            </w:r>
                            <w:r w:rsidR="00B96E34" w:rsidRPr="00B96E34">
                              <w:rPr>
                                <w:rFonts w:asciiTheme="majorHAnsi" w:hAnsiTheme="majorHAnsi" w:cstheme="majorHAnsi"/>
                                <w:lang w:val="nl-NL"/>
                              </w:rPr>
                              <w:t>1320 – Rapportering over het programma voor kwaliteitsbewaking en -verbetering</w:t>
                            </w:r>
                          </w:p>
                          <w:p w:rsidR="00B96E34" w:rsidRPr="0025165D" w:rsidRDefault="00B96E34" w:rsidP="002F57B5">
                            <w:pPr>
                              <w:pStyle w:val="RedBullets"/>
                              <w:numPr>
                                <w:ilvl w:val="0"/>
                                <w:numId w:val="0"/>
                              </w:numPr>
                              <w:rPr>
                                <w:rFonts w:asciiTheme="majorHAnsi" w:hAnsiTheme="majorHAnsi" w:cstheme="majorHAnsi"/>
                                <w:sz w:val="22"/>
                                <w:szCs w:val="22"/>
                                <w:lang w:val="nl-NL"/>
                              </w:rPr>
                            </w:pPr>
                            <w:r w:rsidRPr="0025165D">
                              <w:rPr>
                                <w:rFonts w:asciiTheme="majorHAnsi" w:hAnsiTheme="majorHAnsi" w:cstheme="majorHAnsi"/>
                                <w:sz w:val="22"/>
                                <w:szCs w:val="22"/>
                                <w:lang w:val="nl-NL"/>
                              </w:rPr>
                              <w:t>Het hoofd van de internal-auditfunctie moet de uitkomsten van het programma voor kwaliteitsbewaking en -verbetering voorleggen aan het senior management en het bestuur. De bekendmaking dient het volgende te omvatten:</w:t>
                            </w:r>
                          </w:p>
                          <w:p w:rsidR="00B96E34" w:rsidRPr="0025165D" w:rsidRDefault="00B96E34" w:rsidP="00B96E34">
                            <w:pPr>
                              <w:pStyle w:val="Geenafstand"/>
                              <w:rPr>
                                <w:sz w:val="22"/>
                                <w:szCs w:val="22"/>
                                <w:lang w:val="nl-NL"/>
                              </w:rPr>
                            </w:pPr>
                          </w:p>
                          <w:p w:rsidR="00B96E34" w:rsidRPr="0025165D" w:rsidRDefault="00B96E34" w:rsidP="00B96E34">
                            <w:pPr>
                              <w:pStyle w:val="RedBullets"/>
                              <w:rPr>
                                <w:rFonts w:asciiTheme="majorHAnsi" w:hAnsiTheme="majorHAnsi" w:cstheme="majorHAnsi"/>
                                <w:sz w:val="22"/>
                                <w:szCs w:val="22"/>
                                <w:lang w:val="nl-NL"/>
                              </w:rPr>
                            </w:pPr>
                            <w:r w:rsidRPr="0025165D">
                              <w:rPr>
                                <w:rFonts w:asciiTheme="majorHAnsi" w:hAnsiTheme="majorHAnsi" w:cstheme="majorHAnsi"/>
                                <w:sz w:val="22"/>
                                <w:szCs w:val="22"/>
                                <w:lang w:val="nl-NL"/>
                              </w:rPr>
                              <w:t>de reikwijdte en de frequentie van zowel de interne als externe evaluaties;</w:t>
                            </w:r>
                          </w:p>
                          <w:p w:rsidR="00B96E34" w:rsidRPr="0025165D" w:rsidRDefault="00B96E34" w:rsidP="00B96E34">
                            <w:pPr>
                              <w:pStyle w:val="RedBullets"/>
                              <w:rPr>
                                <w:rFonts w:asciiTheme="majorHAnsi" w:hAnsiTheme="majorHAnsi" w:cstheme="majorHAnsi"/>
                                <w:sz w:val="22"/>
                                <w:szCs w:val="22"/>
                                <w:lang w:val="nl-NL"/>
                              </w:rPr>
                            </w:pPr>
                            <w:r w:rsidRPr="0025165D">
                              <w:rPr>
                                <w:rFonts w:asciiTheme="majorHAnsi" w:hAnsiTheme="majorHAnsi" w:cstheme="majorHAnsi"/>
                                <w:sz w:val="22"/>
                                <w:szCs w:val="22"/>
                                <w:lang w:val="nl-NL"/>
                              </w:rPr>
                              <w:t>de kwalificaties en de onafhankelijkheid van de beoordelaar(s) of het beoordelingsteam, inclusief potentiële belangenconflicten;</w:t>
                            </w:r>
                          </w:p>
                          <w:p w:rsidR="00B96E34" w:rsidRPr="0025165D" w:rsidRDefault="00B96E34" w:rsidP="00B96E34">
                            <w:pPr>
                              <w:pStyle w:val="RedBullets"/>
                              <w:rPr>
                                <w:rFonts w:asciiTheme="majorHAnsi" w:hAnsiTheme="majorHAnsi" w:cstheme="majorHAnsi"/>
                                <w:sz w:val="22"/>
                                <w:szCs w:val="22"/>
                                <w:lang w:val="nl-NL"/>
                              </w:rPr>
                            </w:pPr>
                            <w:r w:rsidRPr="0025165D">
                              <w:rPr>
                                <w:rFonts w:asciiTheme="majorHAnsi" w:hAnsiTheme="majorHAnsi" w:cstheme="majorHAnsi"/>
                                <w:sz w:val="22"/>
                                <w:szCs w:val="22"/>
                                <w:lang w:val="nl-NL"/>
                              </w:rPr>
                              <w:t>de conclusies van de beoordelaars;</w:t>
                            </w:r>
                          </w:p>
                          <w:p w:rsidR="00B96E34" w:rsidRPr="0025165D" w:rsidRDefault="00B96E34" w:rsidP="00B96E34">
                            <w:pPr>
                              <w:pStyle w:val="RedBullets"/>
                              <w:rPr>
                                <w:rFonts w:asciiTheme="majorHAnsi" w:hAnsiTheme="majorHAnsi" w:cstheme="majorHAnsi"/>
                                <w:sz w:val="22"/>
                                <w:szCs w:val="22"/>
                                <w:lang w:val="nl-NL"/>
                              </w:rPr>
                            </w:pPr>
                            <w:r w:rsidRPr="0025165D">
                              <w:rPr>
                                <w:rFonts w:asciiTheme="majorHAnsi" w:hAnsiTheme="majorHAnsi" w:cstheme="majorHAnsi"/>
                                <w:sz w:val="22"/>
                                <w:szCs w:val="22"/>
                                <w:lang w:val="nl-NL"/>
                              </w:rPr>
                              <w:t>corrigerende actieplannen.</w:t>
                            </w:r>
                          </w:p>
                          <w:p w:rsidR="00B96E34" w:rsidRPr="0025165D" w:rsidRDefault="00B96E34" w:rsidP="00B96E34">
                            <w:pPr>
                              <w:pStyle w:val="Geenafstand"/>
                              <w:rPr>
                                <w:sz w:val="22"/>
                                <w:szCs w:val="22"/>
                                <w:lang w:val="nl-NL"/>
                              </w:rPr>
                            </w:pPr>
                          </w:p>
                          <w:p w:rsidR="0025165D" w:rsidRPr="0025165D" w:rsidRDefault="00B96E34" w:rsidP="0025165D">
                            <w:pPr>
                              <w:pStyle w:val="RedBullets"/>
                              <w:numPr>
                                <w:ilvl w:val="0"/>
                                <w:numId w:val="0"/>
                              </w:numPr>
                              <w:ind w:left="360" w:hanging="360"/>
                              <w:rPr>
                                <w:rFonts w:asciiTheme="majorHAnsi" w:hAnsiTheme="majorHAnsi" w:cstheme="majorHAnsi"/>
                                <w:sz w:val="22"/>
                                <w:szCs w:val="22"/>
                                <w:lang w:val="nl-NL"/>
                              </w:rPr>
                            </w:pPr>
                            <w:r w:rsidRPr="0025165D">
                              <w:rPr>
                                <w:rFonts w:asciiTheme="majorHAnsi" w:hAnsiTheme="majorHAnsi" w:cstheme="majorHAnsi"/>
                                <w:b/>
                                <w:sz w:val="22"/>
                                <w:szCs w:val="22"/>
                                <w:lang w:val="nl-NL"/>
                              </w:rPr>
                              <w:t>Interpretatie</w:t>
                            </w:r>
                            <w:r w:rsidRPr="0025165D">
                              <w:rPr>
                                <w:rFonts w:asciiTheme="majorHAnsi" w:hAnsiTheme="majorHAnsi" w:cstheme="majorHAnsi"/>
                                <w:sz w:val="22"/>
                                <w:szCs w:val="22"/>
                                <w:lang w:val="nl-NL"/>
                              </w:rPr>
                              <w:t>:</w:t>
                            </w:r>
                          </w:p>
                          <w:p w:rsidR="0025165D" w:rsidRDefault="0025165D" w:rsidP="0025165D">
                            <w:pPr>
                              <w:pStyle w:val="Geenafstand"/>
                              <w:rPr>
                                <w:lang w:val="nl-NL"/>
                              </w:rPr>
                            </w:pPr>
                          </w:p>
                          <w:p w:rsidR="002F57B5" w:rsidRPr="0025165D" w:rsidRDefault="00B96E34" w:rsidP="00B96E34">
                            <w:pPr>
                              <w:pStyle w:val="RedBullets"/>
                              <w:numPr>
                                <w:ilvl w:val="0"/>
                                <w:numId w:val="0"/>
                              </w:numPr>
                              <w:rPr>
                                <w:rFonts w:asciiTheme="majorHAnsi" w:hAnsiTheme="majorHAnsi" w:cstheme="majorHAnsi"/>
                                <w:i/>
                                <w:sz w:val="22"/>
                                <w:szCs w:val="22"/>
                                <w:lang w:val="nl-NL"/>
                              </w:rPr>
                            </w:pPr>
                            <w:r w:rsidRPr="0025165D">
                              <w:rPr>
                                <w:rFonts w:asciiTheme="majorHAnsi" w:hAnsiTheme="majorHAnsi" w:cstheme="majorHAnsi"/>
                                <w:i/>
                                <w:sz w:val="22"/>
                                <w:szCs w:val="22"/>
                                <w:lang w:val="nl-NL"/>
                              </w:rPr>
                              <w:t>De vorm, inhoud en frequentie van de communicatie van de resultaten van het programma voor kwaliteitsbewaking en -verbetering worden vastgesteld op basis van gesprekken met het senior management en het bestuur. Hierbij worden de verantwoordelijkheden van de internal-auditfunctie en het hoofd van de internal-auditfunctie zoals omschreven in het internal-auditcharter betrokken. Om de naleving van de gedragscode en de Standaarden aan te tonen, worden de resultaten van de externe en periodieke interne evaluaties gecommuniceerd bij de afronding van een dergelijke evaluatie en worden de resultaten van het voortdurend toezicht minstens eenmaal per jaar doorgegeven. De resultaten bevatten ook de conclusies van de beoordelaar of het beoordelingsteam met betrekking tot het niveau van naleving.</w:t>
                            </w:r>
                          </w:p>
                          <w:p w:rsidR="00BF644C" w:rsidRPr="0025165D" w:rsidRDefault="00BF644C" w:rsidP="0025165D">
                            <w:pPr>
                              <w:pStyle w:val="Geenafstand"/>
                              <w:rPr>
                                <w:lang w:val="nl-NL"/>
                              </w:rPr>
                            </w:pP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BB7B64" id="_x0000_t202" coordsize="21600,21600" o:spt="202" path="m,l,21600r21600,l21600,xe">
                <v:stroke joinstyle="miter"/>
                <v:path gradientshapeok="t" o:connecttype="rect"/>
              </v:shapetype>
              <v:shape id="Text Box 5" o:spid="_x0000_s1026" type="#_x0000_t202" style="position:absolute;margin-left:0;margin-top:118.5pt;width:506.25pt;height:501pt;z-index:251658240;visibility:visible;mso-wrap-style:square;mso-width-percent:0;mso-height-percent:0;mso-wrap-distance-left:9pt;mso-wrap-distance-top:165.6pt;mso-wrap-distance-right:9pt;mso-wrap-distance-bottom:21.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" fillcolor="#d8d8d8 [2732]" stroked="f">
                <v:textbox inset="14.4pt,23.76pt,14.4pt,23.76pt">
                  <w:txbxContent>
                    <w:p w:rsidR="002F57B5" w:rsidRPr="00B96E34" w:rsidRDefault="00665553" w:rsidP="002F57B5">
                      <w:pPr>
                        <w:pStyle w:val="TemplateHeadline"/>
                        <w:rPr>
                          <w:rFonts w:asciiTheme="majorHAnsi" w:hAnsiTheme="majorHAnsi" w:cstheme="majorHAnsi"/>
                          <w:lang w:val="nl-NL"/>
                        </w:rPr>
                      </w:pPr>
                      <w:r w:rsidRPr="00B96E34">
                        <w:rPr>
                          <w:rFonts w:asciiTheme="majorHAnsi" w:hAnsiTheme="majorHAnsi" w:cstheme="majorHAnsi"/>
                          <w:lang w:val="nl-NL"/>
                        </w:rPr>
                        <w:t xml:space="preserve">Standaard </w:t>
                      </w:r>
                      <w:r w:rsidR="00B96E34" w:rsidRPr="00B96E34">
                        <w:rPr>
                          <w:rFonts w:asciiTheme="majorHAnsi" w:hAnsiTheme="majorHAnsi" w:cstheme="majorHAnsi"/>
                          <w:lang w:val="nl-NL"/>
                        </w:rPr>
                        <w:t>1320 – Rapportering over het programma voor kwaliteitsbewaking en -verbetering</w:t>
                      </w:r>
                    </w:p>
                    <w:p w:rsidR="00B96E34" w:rsidRPr="0025165D" w:rsidRDefault="00B96E34" w:rsidP="002F57B5">
                      <w:pPr>
                        <w:pStyle w:val="RedBullets"/>
                        <w:numPr>
                          <w:ilvl w:val="0"/>
                          <w:numId w:val="0"/>
                        </w:numPr>
                        <w:rPr>
                          <w:rFonts w:asciiTheme="majorHAnsi" w:hAnsiTheme="majorHAnsi" w:cstheme="majorHAnsi"/>
                          <w:sz w:val="22"/>
                          <w:szCs w:val="22"/>
                          <w:lang w:val="nl-NL"/>
                        </w:rPr>
                      </w:pPr>
                      <w:r w:rsidRPr="0025165D">
                        <w:rPr>
                          <w:rFonts w:asciiTheme="majorHAnsi" w:hAnsiTheme="majorHAnsi" w:cstheme="majorHAnsi"/>
                          <w:sz w:val="22"/>
                          <w:szCs w:val="22"/>
                          <w:lang w:val="nl-NL"/>
                        </w:rPr>
                        <w:t>Het hoofd van de internal-auditfunctie moet de uitkomsten van het programma voor kwaliteitsbewaking en -verbetering voorleggen aan het senior management en het bestuur. De bekendmaking dient het volgende te omvatten:</w:t>
                      </w:r>
                    </w:p>
                    <w:p w:rsidR="00B96E34" w:rsidRPr="0025165D" w:rsidRDefault="00B96E34" w:rsidP="00B96E34">
                      <w:pPr>
                        <w:pStyle w:val="Geenafstand"/>
                        <w:rPr>
                          <w:sz w:val="22"/>
                          <w:szCs w:val="22"/>
                          <w:lang w:val="nl-NL"/>
                        </w:rPr>
                      </w:pPr>
                    </w:p>
                    <w:p w:rsidR="00B96E34" w:rsidRPr="0025165D" w:rsidRDefault="00B96E34" w:rsidP="00B96E34">
                      <w:pPr>
                        <w:pStyle w:val="RedBullets"/>
                        <w:rPr>
                          <w:rFonts w:asciiTheme="majorHAnsi" w:hAnsiTheme="majorHAnsi" w:cstheme="majorHAnsi"/>
                          <w:sz w:val="22"/>
                          <w:szCs w:val="22"/>
                          <w:lang w:val="nl-NL"/>
                        </w:rPr>
                      </w:pPr>
                      <w:r w:rsidRPr="0025165D">
                        <w:rPr>
                          <w:rFonts w:asciiTheme="majorHAnsi" w:hAnsiTheme="majorHAnsi" w:cstheme="majorHAnsi"/>
                          <w:sz w:val="22"/>
                          <w:szCs w:val="22"/>
                          <w:lang w:val="nl-NL"/>
                        </w:rPr>
                        <w:t>de reikwijdte en de frequentie van zowel de interne als externe evaluaties;</w:t>
                      </w:r>
                    </w:p>
                    <w:p w:rsidR="00B96E34" w:rsidRPr="0025165D" w:rsidRDefault="00B96E34" w:rsidP="00B96E34">
                      <w:pPr>
                        <w:pStyle w:val="RedBullets"/>
                        <w:rPr>
                          <w:rFonts w:asciiTheme="majorHAnsi" w:hAnsiTheme="majorHAnsi" w:cstheme="majorHAnsi"/>
                          <w:sz w:val="22"/>
                          <w:szCs w:val="22"/>
                          <w:lang w:val="nl-NL"/>
                        </w:rPr>
                      </w:pPr>
                      <w:r w:rsidRPr="0025165D">
                        <w:rPr>
                          <w:rFonts w:asciiTheme="majorHAnsi" w:hAnsiTheme="majorHAnsi" w:cstheme="majorHAnsi"/>
                          <w:sz w:val="22"/>
                          <w:szCs w:val="22"/>
                          <w:lang w:val="nl-NL"/>
                        </w:rPr>
                        <w:t>de kwalificaties en de onafhankelijkheid van de beoordelaar(s) of het beoordelingsteam, inclusief potentiële belangenconflicten;</w:t>
                      </w:r>
                    </w:p>
                    <w:p w:rsidR="00B96E34" w:rsidRPr="0025165D" w:rsidRDefault="00B96E34" w:rsidP="00B96E34">
                      <w:pPr>
                        <w:pStyle w:val="RedBullets"/>
                        <w:rPr>
                          <w:rFonts w:asciiTheme="majorHAnsi" w:hAnsiTheme="majorHAnsi" w:cstheme="majorHAnsi"/>
                          <w:sz w:val="22"/>
                          <w:szCs w:val="22"/>
                          <w:lang w:val="nl-NL"/>
                        </w:rPr>
                      </w:pPr>
                      <w:r w:rsidRPr="0025165D">
                        <w:rPr>
                          <w:rFonts w:asciiTheme="majorHAnsi" w:hAnsiTheme="majorHAnsi" w:cstheme="majorHAnsi"/>
                          <w:sz w:val="22"/>
                          <w:szCs w:val="22"/>
                          <w:lang w:val="nl-NL"/>
                        </w:rPr>
                        <w:t>de conclusies van de beoordelaars;</w:t>
                      </w:r>
                    </w:p>
                    <w:p w:rsidR="00B96E34" w:rsidRPr="0025165D" w:rsidRDefault="00B96E34" w:rsidP="00B96E34">
                      <w:pPr>
                        <w:pStyle w:val="RedBullets"/>
                        <w:rPr>
                          <w:rFonts w:asciiTheme="majorHAnsi" w:hAnsiTheme="majorHAnsi" w:cstheme="majorHAnsi"/>
                          <w:sz w:val="22"/>
                          <w:szCs w:val="22"/>
                          <w:lang w:val="nl-NL"/>
                        </w:rPr>
                      </w:pPr>
                      <w:r w:rsidRPr="0025165D">
                        <w:rPr>
                          <w:rFonts w:asciiTheme="majorHAnsi" w:hAnsiTheme="majorHAnsi" w:cstheme="majorHAnsi"/>
                          <w:sz w:val="22"/>
                          <w:szCs w:val="22"/>
                          <w:lang w:val="nl-NL"/>
                        </w:rPr>
                        <w:t>corrigerende actieplannen.</w:t>
                      </w:r>
                    </w:p>
                    <w:p w:rsidR="00B96E34" w:rsidRPr="0025165D" w:rsidRDefault="00B96E34" w:rsidP="00B96E34">
                      <w:pPr>
                        <w:pStyle w:val="Geenafstand"/>
                        <w:rPr>
                          <w:sz w:val="22"/>
                          <w:szCs w:val="22"/>
                          <w:lang w:val="nl-NL"/>
                        </w:rPr>
                      </w:pPr>
                    </w:p>
                    <w:p w:rsidR="0025165D" w:rsidRPr="0025165D" w:rsidRDefault="00B96E34" w:rsidP="0025165D">
                      <w:pPr>
                        <w:pStyle w:val="RedBullets"/>
                        <w:numPr>
                          <w:ilvl w:val="0"/>
                          <w:numId w:val="0"/>
                        </w:numPr>
                        <w:ind w:left="360" w:hanging="360"/>
                        <w:rPr>
                          <w:rFonts w:asciiTheme="majorHAnsi" w:hAnsiTheme="majorHAnsi" w:cstheme="majorHAnsi"/>
                          <w:sz w:val="22"/>
                          <w:szCs w:val="22"/>
                          <w:lang w:val="nl-NL"/>
                        </w:rPr>
                      </w:pPr>
                      <w:r w:rsidRPr="0025165D">
                        <w:rPr>
                          <w:rFonts w:asciiTheme="majorHAnsi" w:hAnsiTheme="majorHAnsi" w:cstheme="majorHAnsi"/>
                          <w:b/>
                          <w:sz w:val="22"/>
                          <w:szCs w:val="22"/>
                          <w:lang w:val="nl-NL"/>
                        </w:rPr>
                        <w:t>Interpretatie</w:t>
                      </w:r>
                      <w:r w:rsidRPr="0025165D">
                        <w:rPr>
                          <w:rFonts w:asciiTheme="majorHAnsi" w:hAnsiTheme="majorHAnsi" w:cstheme="majorHAnsi"/>
                          <w:sz w:val="22"/>
                          <w:szCs w:val="22"/>
                          <w:lang w:val="nl-NL"/>
                        </w:rPr>
                        <w:t>:</w:t>
                      </w:r>
                    </w:p>
                    <w:p w:rsidR="0025165D" w:rsidRDefault="0025165D" w:rsidP="0025165D">
                      <w:pPr>
                        <w:pStyle w:val="Geenafstand"/>
                        <w:rPr>
                          <w:lang w:val="nl-NL"/>
                        </w:rPr>
                      </w:pPr>
                    </w:p>
                    <w:p w:rsidR="002F57B5" w:rsidRPr="0025165D" w:rsidRDefault="00B96E34" w:rsidP="00B96E34">
                      <w:pPr>
                        <w:pStyle w:val="RedBullets"/>
                        <w:numPr>
                          <w:ilvl w:val="0"/>
                          <w:numId w:val="0"/>
                        </w:numPr>
                        <w:rPr>
                          <w:rFonts w:asciiTheme="majorHAnsi" w:hAnsiTheme="majorHAnsi" w:cstheme="majorHAnsi"/>
                          <w:i/>
                          <w:sz w:val="22"/>
                          <w:szCs w:val="22"/>
                          <w:lang w:val="nl-NL"/>
                        </w:rPr>
                      </w:pPr>
                      <w:r w:rsidRPr="0025165D">
                        <w:rPr>
                          <w:rFonts w:asciiTheme="majorHAnsi" w:hAnsiTheme="majorHAnsi" w:cstheme="majorHAnsi"/>
                          <w:i/>
                          <w:sz w:val="22"/>
                          <w:szCs w:val="22"/>
                          <w:lang w:val="nl-NL"/>
                        </w:rPr>
                        <w:t>De vorm, inhoud en frequentie van de communicatie van de resultaten van het programma voor kwaliteitsbewaking en -verbetering worden vastgesteld op basis van gesprekken met het senior management en het bestuur. Hierbij worden de verantwoordelijkheden van de internal-auditfunctie en het hoofd van de internal-auditfunctie zoals omschreven in het internal-auditcharter betrokken. Om de naleving van de gedragscode en de Standaarden aan te tonen, worden de resultaten van de externe en periodieke interne evaluaties gecommuniceerd bij de afronding van een dergelijke evaluatie en worden de resultaten van het voortdurend toezicht minstens eenmaal per jaar doorgegeven. De resultaten bevatten ook de conclusies van de beoordelaar of het beoordelingsteam met betrekking tot het niveau van naleving.</w:t>
                      </w:r>
                    </w:p>
                    <w:p w:rsidR="00BF644C" w:rsidRPr="0025165D" w:rsidRDefault="00BF644C" w:rsidP="0025165D">
                      <w:pPr>
                        <w:pStyle w:val="Geenafstand"/>
                        <w:rPr>
                          <w:lang w:val="nl-NL"/>
                        </w:rPr>
                      </w:pPr>
                    </w:p>
                  </w:txbxContent>
                </v:textbox>
                <w10:wrap type="square" anchorx="margin" anchory="margin"/>
              </v:shape>
            </w:pict>
          </mc:Fallback>
        </mc:AlternateContent>
      </w:r>
      <w:r w:rsidR="00685768" w:rsidRPr="0025165D">
        <w:rPr>
          <w:rFonts w:cstheme="minorHAnsi"/>
          <w:noProof/>
          <w:lang w:val="nl-NL" w:eastAsia="nl-NL"/>
        </w:rPr>
        <mc:AlternateContent>
          <mc:Choice Requires="wps">
            <w:drawing>
              <wp:anchor distT="0" distB="0" distL="114300" distR="114300" simplePos="0" relativeHeight="251662336" behindDoc="0" locked="0" layoutInCell="1" allowOverlap="1" wp14:anchorId="1EC44BA1" wp14:editId="6B961549">
                <wp:simplePos x="0" y="0"/>
                <wp:positionH relativeFrom="page">
                  <wp:posOffset>2428875</wp:posOffset>
                </wp:positionH>
                <wp:positionV relativeFrom="page">
                  <wp:posOffset>923925</wp:posOffset>
                </wp:positionV>
                <wp:extent cx="4343400" cy="1600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343400" cy="1600200"/>
                        </a:xfrm>
                        <a:prstGeom prst="rect">
                          <a:avLst/>
                        </a:prstGeom>
                        <a:noFill/>
                        <a:ln>
                          <a:no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F57B5" w:rsidRPr="00E6381B" w:rsidRDefault="00665553" w:rsidP="002F57B5">
                            <w:pPr>
                              <w:pStyle w:val="Headline"/>
                              <w:jc w:val="right"/>
                              <w:rPr>
                                <w:color w:val="FFFFFF" w:themeColor="background1"/>
                                <w:sz w:val="50"/>
                                <w:szCs w:val="50"/>
                                <w14:textOutline w14:w="9525" w14:cap="flat" w14:cmpd="sng" w14:algn="ctr">
                                  <w14:noFill/>
                                  <w14:prstDash w14:val="solid"/>
                                  <w14:round/>
                                </w14:textOutline>
                              </w:rPr>
                            </w:pPr>
                            <w:r>
                              <w:rPr>
                                <w:color w:val="FFFFFF" w:themeColor="background1"/>
                                <w:sz w:val="50"/>
                                <w:szCs w:val="50"/>
                                <w:lang w:val="nl-NL"/>
                                <w14:textOutline w14:w="9525" w14:cap="flat" w14:cmpd="sng" w14:algn="ctr">
                                  <w14:noFill/>
                                  <w14:prstDash w14:val="solid"/>
                                  <w14:round/>
                                </w14:textOutline>
                              </w:rPr>
                              <w:t>I</w:t>
                            </w:r>
                            <w:r w:rsidR="00B96E34">
                              <w:rPr>
                                <w:color w:val="FFFFFF" w:themeColor="background1"/>
                                <w:sz w:val="50"/>
                                <w:szCs w:val="50"/>
                                <w:lang w:val="nl-NL"/>
                                <w14:textOutline w14:w="9525" w14:cap="flat" w14:cmpd="sng" w14:algn="ctr">
                                  <w14:noFill/>
                                  <w14:prstDash w14:val="solid"/>
                                  <w14:round/>
                                </w14:textOutline>
                              </w:rPr>
                              <w:t>mplementatierichtlijn 132</w:t>
                            </w:r>
                            <w:r w:rsidR="002F57B5" w:rsidRPr="00E6381B">
                              <w:rPr>
                                <w:color w:val="FFFFFF" w:themeColor="background1"/>
                                <w:sz w:val="50"/>
                                <w:szCs w:val="50"/>
                                <w:lang w:val="nl-NL"/>
                                <w14:textOutline w14:w="9525" w14:cap="flat" w14:cmpd="sng" w14:algn="ctr">
                                  <w14:noFill/>
                                  <w14:prstDash w14:val="solid"/>
                                  <w14:round/>
                                </w14:textOutline>
                              </w:rPr>
                              <w:t>0</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w14:anchorId="1EC44BA1" id="Text Box 6" o:spid="_x0000_s1027" type="#_x0000_t202" style="position:absolute;margin-left:191.25pt;margin-top:72.75pt;width:342pt;height:126pt;z-index:25166233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" filled="f" stroked="f">
                <v:textbox>
                  <w:txbxContent>
                    <w:p w:rsidR="002F57B5" w:rsidRPr="00E6381B" w:rsidRDefault="00665553" w:rsidP="002F57B5">
                      <w:pPr>
                        <w:pStyle w:val="Headline"/>
                        <w:jc w:val="right"/>
                        <w:rPr>
                          <w:color w:val="FFFFFF" w:themeColor="background1"/>
                          <w:sz w:val="50"/>
                          <w:szCs w:val="50"/>
                          <w14:textOutline w14:w="9525" w14:cap="flat" w14:cmpd="sng" w14:algn="ctr">
                            <w14:noFill/>
                            <w14:prstDash w14:val="solid"/>
                            <w14:round/>
                          </w14:textOutline>
                        </w:rPr>
                      </w:pPr>
                      <w:r>
                        <w:rPr>
                          <w:color w:val="FFFFFF" w:themeColor="background1"/>
                          <w:sz w:val="50"/>
                          <w:szCs w:val="50"/>
                          <w:lang w:val="nl-NL"/>
                          <w14:textOutline w14:w="9525" w14:cap="flat" w14:cmpd="sng" w14:algn="ctr">
                            <w14:noFill/>
                            <w14:prstDash w14:val="solid"/>
                            <w14:round/>
                          </w14:textOutline>
                        </w:rPr>
                        <w:t>I</w:t>
                      </w:r>
                      <w:r w:rsidR="00B96E34">
                        <w:rPr>
                          <w:color w:val="FFFFFF" w:themeColor="background1"/>
                          <w:sz w:val="50"/>
                          <w:szCs w:val="50"/>
                          <w:lang w:val="nl-NL"/>
                          <w14:textOutline w14:w="9525" w14:cap="flat" w14:cmpd="sng" w14:algn="ctr">
                            <w14:noFill/>
                            <w14:prstDash w14:val="solid"/>
                            <w14:round/>
                          </w14:textOutline>
                        </w:rPr>
                        <w:t>mplementatierichtlijn 132</w:t>
                      </w:r>
                      <w:r w:rsidR="002F57B5" w:rsidRPr="00E6381B">
                        <w:rPr>
                          <w:color w:val="FFFFFF" w:themeColor="background1"/>
                          <w:sz w:val="50"/>
                          <w:szCs w:val="50"/>
                          <w:lang w:val="nl-NL"/>
                          <w14:textOutline w14:w="9525" w14:cap="flat" w14:cmpd="sng" w14:algn="ctr">
                            <w14:noFill/>
                            <w14:prstDash w14:val="solid"/>
                            <w14:round/>
                          </w14:textOutline>
                        </w:rPr>
                        <w:t>0</w:t>
                      </w:r>
                    </w:p>
                  </w:txbxContent>
                </v:textbox>
                <w10:wrap type="square" anchorx="page" anchory="page"/>
              </v:shape>
            </w:pict>
          </mc:Fallback>
        </mc:AlternateContent>
      </w:r>
    </w:p>
    <w:p w:rsidR="004B2C19" w:rsidRPr="0025165D" w:rsidRDefault="0025165D" w:rsidP="004B2C19">
      <w:pPr>
        <w:pStyle w:val="Geenafstand"/>
        <w:rPr>
          <w:rFonts w:cstheme="minorHAnsi"/>
          <w:lang w:val="nl-NL"/>
        </w:rPr>
      </w:pPr>
      <w:r w:rsidRPr="0025165D">
        <w:rPr>
          <w:rFonts w:cstheme="minorHAnsi"/>
          <w:noProof/>
          <w:lang w:val="nl-NL" w:eastAsia="nl-NL"/>
        </w:rPr>
        <w:lastRenderedPageBreak/>
        <mc:AlternateContent>
          <mc:Choice Requires="wps">
            <w:drawing>
              <wp:anchor distT="2103120" distB="274320" distL="114300" distR="114300" simplePos="0" relativeHeight="251666432" behindDoc="0" locked="0" layoutInCell="1" allowOverlap="1" wp14:anchorId="4DE75E20" wp14:editId="4012D461">
                <wp:simplePos x="0" y="0"/>
                <wp:positionH relativeFrom="margin">
                  <wp:posOffset>19050</wp:posOffset>
                </wp:positionH>
                <wp:positionV relativeFrom="margin">
                  <wp:posOffset>80010</wp:posOffset>
                </wp:positionV>
                <wp:extent cx="6429375" cy="781050"/>
                <wp:effectExtent l="0" t="0" r="9525" b="0"/>
                <wp:wrapSquare wrapText="bothSides"/>
                <wp:docPr id="4" name="Text Box 5"/>
                <wp:cNvGraphicFramePr/>
                <a:graphic xmlns:a="http://schemas.openxmlformats.org/drawingml/2006/main">
                  <a:graphicData uri="http://schemas.microsoft.com/office/word/2010/wordprocessingShape">
                    <wps:wsp>
                      <wps:cNvSpPr txBox="1"/>
                      <wps:spPr>
                        <a:xfrm>
                          <a:off x="0" y="0"/>
                          <a:ext cx="6429375" cy="781050"/>
                        </a:xfrm>
                        <a:prstGeom prst="rect">
                          <a:avLst/>
                        </a:prstGeom>
                        <a:solidFill>
                          <a:schemeClr val="bg1">
                            <a:lumMod val="85000"/>
                          </a:schemeClr>
                        </a:solid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25165D" w:rsidRPr="0025165D" w:rsidRDefault="0025165D" w:rsidP="0025165D">
                            <w:pPr>
                              <w:pStyle w:val="Geenafstand"/>
                              <w:jc w:val="right"/>
                              <w:rPr>
                                <w:lang w:val="nl-NL"/>
                              </w:rPr>
                            </w:pPr>
                            <w:proofErr w:type="spellStart"/>
                            <w:r w:rsidRPr="0025165D">
                              <w:rPr>
                                <w:lang w:val="nl-NL"/>
                              </w:rPr>
                              <w:t>Herziene</w:t>
                            </w:r>
                            <w:proofErr w:type="spellEnd"/>
                            <w:r w:rsidRPr="0025165D">
                              <w:rPr>
                                <w:lang w:val="nl-NL"/>
                              </w:rPr>
                              <w:t xml:space="preserve"> </w:t>
                            </w:r>
                            <w:r w:rsidRPr="0025165D">
                              <w:rPr>
                                <w:i/>
                                <w:lang w:val="nl-NL"/>
                              </w:rPr>
                              <w:t>Standaarden</w:t>
                            </w:r>
                            <w:r w:rsidRPr="0025165D">
                              <w:rPr>
                                <w:lang w:val="nl-NL"/>
                              </w:rPr>
                              <w:t xml:space="preserve"> die per 1 januari 2017 van kracht zijn</w:t>
                            </w: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75E20" id="_x0000_s1028" type="#_x0000_t202" style="position:absolute;margin-left:1.5pt;margin-top:6.3pt;width:506.25pt;height:61.5pt;z-index:251666432;visibility:visible;mso-wrap-style:square;mso-width-percent:0;mso-height-percent:0;mso-wrap-distance-left:9pt;mso-wrap-distance-top:165.6pt;mso-wrap-distance-right:9pt;mso-wrap-distance-bottom:21.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" fillcolor="#d8d8d8 [2732]" stroked="f">
                <v:textbox inset="14.4pt,23.76pt,14.4pt,23.76pt">
                  <w:txbxContent>
                    <w:p w:rsidR="0025165D" w:rsidRPr="0025165D" w:rsidRDefault="0025165D" w:rsidP="0025165D">
                      <w:pPr>
                        <w:pStyle w:val="Geenafstand"/>
                        <w:jc w:val="right"/>
                        <w:rPr>
                          <w:lang w:val="nl-NL"/>
                        </w:rPr>
                      </w:pPr>
                      <w:proofErr w:type="spellStart"/>
                      <w:r w:rsidRPr="0025165D">
                        <w:rPr>
                          <w:lang w:val="nl-NL"/>
                        </w:rPr>
                        <w:t>Herziene</w:t>
                      </w:r>
                      <w:proofErr w:type="spellEnd"/>
                      <w:r w:rsidRPr="0025165D">
                        <w:rPr>
                          <w:lang w:val="nl-NL"/>
                        </w:rPr>
                        <w:t xml:space="preserve"> </w:t>
                      </w:r>
                      <w:r w:rsidRPr="0025165D">
                        <w:rPr>
                          <w:i/>
                          <w:lang w:val="nl-NL"/>
                        </w:rPr>
                        <w:t>Standaarden</w:t>
                      </w:r>
                      <w:r w:rsidRPr="0025165D">
                        <w:rPr>
                          <w:lang w:val="nl-NL"/>
                        </w:rPr>
                        <w:t xml:space="preserve"> die per 1 januari 2017 van kracht zijn</w:t>
                      </w:r>
                    </w:p>
                  </w:txbxContent>
                </v:textbox>
                <w10:wrap type="square" anchorx="margin" anchory="margin"/>
              </v:shape>
            </w:pict>
          </mc:Fallback>
        </mc:AlternateContent>
      </w:r>
    </w:p>
    <w:p w:rsidR="002F57B5" w:rsidRPr="0025165D" w:rsidRDefault="0025165D" w:rsidP="002F57B5">
      <w:pPr>
        <w:pStyle w:val="TemplateHeadline"/>
        <w:rPr>
          <w:rFonts w:asciiTheme="minorHAnsi" w:hAnsiTheme="minorHAnsi" w:cstheme="minorHAnsi"/>
          <w:lang w:val="nl-NL"/>
        </w:rPr>
      </w:pPr>
      <w:r w:rsidRPr="0025165D">
        <w:rPr>
          <w:rFonts w:asciiTheme="minorHAnsi" w:hAnsiTheme="minorHAnsi" w:cstheme="minorHAnsi"/>
          <w:noProof/>
          <w:lang w:val="nl-NL" w:eastAsia="nl-NL"/>
        </w:rPr>
        <mc:AlternateContent>
          <mc:Choice Requires="wps">
            <w:drawing>
              <wp:anchor distT="2103120" distB="274320" distL="114300" distR="114300" simplePos="0" relativeHeight="251664384" behindDoc="0" locked="0" layoutInCell="1" allowOverlap="1" wp14:anchorId="4DE75E20" wp14:editId="4012D461">
                <wp:simplePos x="0" y="0"/>
                <wp:positionH relativeFrom="margin">
                  <wp:posOffset>0</wp:posOffset>
                </wp:positionH>
                <wp:positionV relativeFrom="margin">
                  <wp:posOffset>10298430</wp:posOffset>
                </wp:positionV>
                <wp:extent cx="6429375" cy="6362700"/>
                <wp:effectExtent l="0" t="0" r="9525" b="0"/>
                <wp:wrapSquare wrapText="bothSides"/>
                <wp:docPr id="2" name="Text Box 5"/>
                <wp:cNvGraphicFramePr/>
                <a:graphic xmlns:a="http://schemas.openxmlformats.org/drawingml/2006/main">
                  <a:graphicData uri="http://schemas.microsoft.com/office/word/2010/wordprocessingShape">
                    <wps:wsp>
                      <wps:cNvSpPr txBox="1"/>
                      <wps:spPr>
                        <a:xfrm>
                          <a:off x="0" y="0"/>
                          <a:ext cx="6429375" cy="6362700"/>
                        </a:xfrm>
                        <a:prstGeom prst="rect">
                          <a:avLst/>
                        </a:prstGeom>
                        <a:solidFill>
                          <a:schemeClr val="bg1">
                            <a:lumMod val="85000"/>
                          </a:schemeClr>
                        </a:solid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25165D" w:rsidRPr="00B96E34" w:rsidRDefault="0025165D" w:rsidP="0025165D">
                            <w:pPr>
                              <w:pStyle w:val="TemplateHeadline"/>
                              <w:rPr>
                                <w:rFonts w:asciiTheme="majorHAnsi" w:hAnsiTheme="majorHAnsi" w:cstheme="majorHAnsi"/>
                                <w:lang w:val="nl-NL"/>
                              </w:rPr>
                            </w:pPr>
                            <w:r w:rsidRPr="00B96E34">
                              <w:rPr>
                                <w:rFonts w:asciiTheme="majorHAnsi" w:hAnsiTheme="majorHAnsi" w:cstheme="majorHAnsi"/>
                                <w:lang w:val="nl-NL"/>
                              </w:rPr>
                              <w:t>Standaard 1320 – Rapportering over het programma voor kwaliteitsbewaking en -verbetering</w:t>
                            </w:r>
                          </w:p>
                          <w:p w:rsidR="0025165D" w:rsidRPr="0025165D" w:rsidRDefault="0025165D" w:rsidP="0025165D">
                            <w:pPr>
                              <w:pStyle w:val="RedBullets"/>
                              <w:numPr>
                                <w:ilvl w:val="0"/>
                                <w:numId w:val="0"/>
                              </w:numPr>
                              <w:rPr>
                                <w:rFonts w:asciiTheme="majorHAnsi" w:hAnsiTheme="majorHAnsi" w:cstheme="majorHAnsi"/>
                                <w:sz w:val="22"/>
                                <w:szCs w:val="22"/>
                                <w:lang w:val="nl-NL"/>
                              </w:rPr>
                            </w:pPr>
                            <w:r w:rsidRPr="0025165D">
                              <w:rPr>
                                <w:rFonts w:asciiTheme="majorHAnsi" w:hAnsiTheme="majorHAnsi" w:cstheme="majorHAnsi"/>
                                <w:sz w:val="22"/>
                                <w:szCs w:val="22"/>
                                <w:lang w:val="nl-NL"/>
                              </w:rPr>
                              <w:t>Het hoofd van de internal-auditfunctie moet de uitkomsten van het programma voor kwaliteitsbewaking en -verbetering voorleggen aan het senior management en het bestuur. De bekendmaking dient het volgende te omvatten:</w:t>
                            </w:r>
                          </w:p>
                          <w:p w:rsidR="0025165D" w:rsidRPr="0025165D" w:rsidRDefault="0025165D" w:rsidP="0025165D">
                            <w:pPr>
                              <w:pStyle w:val="Geenafstand"/>
                              <w:rPr>
                                <w:sz w:val="22"/>
                                <w:szCs w:val="22"/>
                                <w:lang w:val="nl-NL"/>
                              </w:rPr>
                            </w:pPr>
                          </w:p>
                          <w:p w:rsidR="0025165D" w:rsidRPr="0025165D" w:rsidRDefault="0025165D" w:rsidP="0025165D">
                            <w:pPr>
                              <w:pStyle w:val="RedBullets"/>
                              <w:rPr>
                                <w:rFonts w:asciiTheme="majorHAnsi" w:hAnsiTheme="majorHAnsi" w:cstheme="majorHAnsi"/>
                                <w:sz w:val="22"/>
                                <w:szCs w:val="22"/>
                                <w:lang w:val="nl-NL"/>
                              </w:rPr>
                            </w:pPr>
                            <w:r w:rsidRPr="0025165D">
                              <w:rPr>
                                <w:rFonts w:asciiTheme="majorHAnsi" w:hAnsiTheme="majorHAnsi" w:cstheme="majorHAnsi"/>
                                <w:sz w:val="22"/>
                                <w:szCs w:val="22"/>
                                <w:lang w:val="nl-NL"/>
                              </w:rPr>
                              <w:t>de reikwijdte en de frequentie van zowel de interne als externe evaluaties;</w:t>
                            </w:r>
                          </w:p>
                          <w:p w:rsidR="0025165D" w:rsidRPr="0025165D" w:rsidRDefault="0025165D" w:rsidP="0025165D">
                            <w:pPr>
                              <w:pStyle w:val="RedBullets"/>
                              <w:rPr>
                                <w:rFonts w:asciiTheme="majorHAnsi" w:hAnsiTheme="majorHAnsi" w:cstheme="majorHAnsi"/>
                                <w:sz w:val="22"/>
                                <w:szCs w:val="22"/>
                                <w:lang w:val="nl-NL"/>
                              </w:rPr>
                            </w:pPr>
                            <w:r w:rsidRPr="0025165D">
                              <w:rPr>
                                <w:rFonts w:asciiTheme="majorHAnsi" w:hAnsiTheme="majorHAnsi" w:cstheme="majorHAnsi"/>
                                <w:sz w:val="22"/>
                                <w:szCs w:val="22"/>
                                <w:lang w:val="nl-NL"/>
                              </w:rPr>
                              <w:t>de kwalificaties en de onafhankelijkheid van de beoordelaar(s) of het beoordelingsteam, inclusief potentiële belangenconflicten;</w:t>
                            </w:r>
                          </w:p>
                          <w:p w:rsidR="0025165D" w:rsidRPr="0025165D" w:rsidRDefault="0025165D" w:rsidP="0025165D">
                            <w:pPr>
                              <w:pStyle w:val="RedBullets"/>
                              <w:rPr>
                                <w:rFonts w:asciiTheme="majorHAnsi" w:hAnsiTheme="majorHAnsi" w:cstheme="majorHAnsi"/>
                                <w:sz w:val="22"/>
                                <w:szCs w:val="22"/>
                                <w:lang w:val="nl-NL"/>
                              </w:rPr>
                            </w:pPr>
                            <w:r w:rsidRPr="0025165D">
                              <w:rPr>
                                <w:rFonts w:asciiTheme="majorHAnsi" w:hAnsiTheme="majorHAnsi" w:cstheme="majorHAnsi"/>
                                <w:sz w:val="22"/>
                                <w:szCs w:val="22"/>
                                <w:lang w:val="nl-NL"/>
                              </w:rPr>
                              <w:t>de conclusies van de beoordelaars;</w:t>
                            </w:r>
                          </w:p>
                          <w:p w:rsidR="0025165D" w:rsidRPr="0025165D" w:rsidRDefault="0025165D" w:rsidP="0025165D">
                            <w:pPr>
                              <w:pStyle w:val="RedBullets"/>
                              <w:rPr>
                                <w:rFonts w:asciiTheme="majorHAnsi" w:hAnsiTheme="majorHAnsi" w:cstheme="majorHAnsi"/>
                                <w:sz w:val="22"/>
                                <w:szCs w:val="22"/>
                                <w:lang w:val="nl-NL"/>
                              </w:rPr>
                            </w:pPr>
                            <w:r w:rsidRPr="0025165D">
                              <w:rPr>
                                <w:rFonts w:asciiTheme="majorHAnsi" w:hAnsiTheme="majorHAnsi" w:cstheme="majorHAnsi"/>
                                <w:sz w:val="22"/>
                                <w:szCs w:val="22"/>
                                <w:lang w:val="nl-NL"/>
                              </w:rPr>
                              <w:t>corrigerende actieplannen.</w:t>
                            </w:r>
                          </w:p>
                          <w:p w:rsidR="0025165D" w:rsidRPr="0025165D" w:rsidRDefault="0025165D" w:rsidP="0025165D">
                            <w:pPr>
                              <w:pStyle w:val="Geenafstand"/>
                              <w:rPr>
                                <w:sz w:val="22"/>
                                <w:szCs w:val="22"/>
                                <w:lang w:val="nl-NL"/>
                              </w:rPr>
                            </w:pPr>
                          </w:p>
                          <w:p w:rsidR="0025165D" w:rsidRPr="0025165D" w:rsidRDefault="0025165D" w:rsidP="0025165D">
                            <w:pPr>
                              <w:pStyle w:val="RedBullets"/>
                              <w:numPr>
                                <w:ilvl w:val="0"/>
                                <w:numId w:val="0"/>
                              </w:numPr>
                              <w:ind w:left="360" w:hanging="360"/>
                              <w:rPr>
                                <w:rFonts w:asciiTheme="majorHAnsi" w:hAnsiTheme="majorHAnsi" w:cstheme="majorHAnsi"/>
                                <w:sz w:val="22"/>
                                <w:szCs w:val="22"/>
                                <w:lang w:val="nl-NL"/>
                              </w:rPr>
                            </w:pPr>
                            <w:r w:rsidRPr="0025165D">
                              <w:rPr>
                                <w:rFonts w:asciiTheme="majorHAnsi" w:hAnsiTheme="majorHAnsi" w:cstheme="majorHAnsi"/>
                                <w:b/>
                                <w:sz w:val="22"/>
                                <w:szCs w:val="22"/>
                                <w:lang w:val="nl-NL"/>
                              </w:rPr>
                              <w:t>Interpretatie</w:t>
                            </w:r>
                            <w:r w:rsidRPr="0025165D">
                              <w:rPr>
                                <w:rFonts w:asciiTheme="majorHAnsi" w:hAnsiTheme="majorHAnsi" w:cstheme="majorHAnsi"/>
                                <w:sz w:val="22"/>
                                <w:szCs w:val="22"/>
                                <w:lang w:val="nl-NL"/>
                              </w:rPr>
                              <w:t>:</w:t>
                            </w:r>
                          </w:p>
                          <w:p w:rsidR="0025165D" w:rsidRDefault="0025165D" w:rsidP="0025165D">
                            <w:pPr>
                              <w:pStyle w:val="Geenafstand"/>
                              <w:rPr>
                                <w:lang w:val="nl-NL"/>
                              </w:rPr>
                            </w:pPr>
                          </w:p>
                          <w:p w:rsidR="0025165D" w:rsidRPr="0025165D" w:rsidRDefault="0025165D" w:rsidP="0025165D">
                            <w:pPr>
                              <w:pStyle w:val="RedBullets"/>
                              <w:numPr>
                                <w:ilvl w:val="0"/>
                                <w:numId w:val="0"/>
                              </w:numPr>
                              <w:rPr>
                                <w:rFonts w:asciiTheme="majorHAnsi" w:hAnsiTheme="majorHAnsi" w:cstheme="majorHAnsi"/>
                                <w:i/>
                                <w:sz w:val="22"/>
                                <w:szCs w:val="22"/>
                                <w:lang w:val="nl-NL"/>
                              </w:rPr>
                            </w:pPr>
                            <w:r w:rsidRPr="0025165D">
                              <w:rPr>
                                <w:rFonts w:asciiTheme="majorHAnsi" w:hAnsiTheme="majorHAnsi" w:cstheme="majorHAnsi"/>
                                <w:i/>
                                <w:sz w:val="22"/>
                                <w:szCs w:val="22"/>
                                <w:lang w:val="nl-NL"/>
                              </w:rPr>
                              <w:t>De vorm, inhoud en frequentie van de communicatie van de resultaten van het programma voor kwaliteitsbewaking en -verbetering worden vastgesteld op basis van gesprekken met het senior management en het bestuur. Hierbij worden de verantwoordelijkheden van de internal-auditfunctie en het hoofd van de internal-auditfunctie zoals omschreven in het internal-auditcharter betrokken. Om de naleving van de gedragscode en de Standaarden aan te tonen, worden de resultaten van de externe en periodieke interne evaluaties gecommuniceerd bij de afronding van een dergelijke evaluatie en worden de resultaten van het voortdurend toezicht minstens eenmaal per jaar doorgegeven. De resultaten bevatten ook de conclusies van de beoordelaar of het beoordelingsteam met betrekking tot het niveau van naleving.</w:t>
                            </w:r>
                          </w:p>
                          <w:p w:rsidR="0025165D" w:rsidRPr="0025165D" w:rsidRDefault="0025165D" w:rsidP="0025165D">
                            <w:pPr>
                              <w:pStyle w:val="Geenafstand"/>
                              <w:rPr>
                                <w:lang w:val="nl-NL"/>
                              </w:rPr>
                            </w:pP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75E20" id="_x0000_s1029" type="#_x0000_t202" style="position:absolute;margin-left:0;margin-top:810.9pt;width:506.25pt;height:501pt;z-index:251664384;visibility:visible;mso-wrap-style:square;mso-width-percent:0;mso-height-percent:0;mso-wrap-distance-left:9pt;mso-wrap-distance-top:165.6pt;mso-wrap-distance-right:9pt;mso-wrap-distance-bottom:21.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" fillcolor="#d8d8d8 [2732]" stroked="f">
                <v:textbox inset="14.4pt,23.76pt,14.4pt,23.76pt">
                  <w:txbxContent>
                    <w:p w:rsidR="0025165D" w:rsidRPr="00B96E34" w:rsidRDefault="0025165D" w:rsidP="0025165D">
                      <w:pPr>
                        <w:pStyle w:val="TemplateHeadline"/>
                        <w:rPr>
                          <w:rFonts w:asciiTheme="majorHAnsi" w:hAnsiTheme="majorHAnsi" w:cstheme="majorHAnsi"/>
                          <w:lang w:val="nl-NL"/>
                        </w:rPr>
                      </w:pPr>
                      <w:r w:rsidRPr="00B96E34">
                        <w:rPr>
                          <w:rFonts w:asciiTheme="majorHAnsi" w:hAnsiTheme="majorHAnsi" w:cstheme="majorHAnsi"/>
                          <w:lang w:val="nl-NL"/>
                        </w:rPr>
                        <w:t>Standaard 1320 – Rapportering over het programma voor kwaliteitsbewaking en -verbetering</w:t>
                      </w:r>
                    </w:p>
                    <w:p w:rsidR="0025165D" w:rsidRPr="0025165D" w:rsidRDefault="0025165D" w:rsidP="0025165D">
                      <w:pPr>
                        <w:pStyle w:val="RedBullets"/>
                        <w:numPr>
                          <w:ilvl w:val="0"/>
                          <w:numId w:val="0"/>
                        </w:numPr>
                        <w:rPr>
                          <w:rFonts w:asciiTheme="majorHAnsi" w:hAnsiTheme="majorHAnsi" w:cstheme="majorHAnsi"/>
                          <w:sz w:val="22"/>
                          <w:szCs w:val="22"/>
                          <w:lang w:val="nl-NL"/>
                        </w:rPr>
                      </w:pPr>
                      <w:r w:rsidRPr="0025165D">
                        <w:rPr>
                          <w:rFonts w:asciiTheme="majorHAnsi" w:hAnsiTheme="majorHAnsi" w:cstheme="majorHAnsi"/>
                          <w:sz w:val="22"/>
                          <w:szCs w:val="22"/>
                          <w:lang w:val="nl-NL"/>
                        </w:rPr>
                        <w:t>Het hoofd van de internal-auditfunctie moet de uitkomsten van het programma voor kwaliteitsbewaking en -verbetering voorleggen aan het senior management en het bestuur. De bekendmaking dient het volgende te omvatten:</w:t>
                      </w:r>
                    </w:p>
                    <w:p w:rsidR="0025165D" w:rsidRPr="0025165D" w:rsidRDefault="0025165D" w:rsidP="0025165D">
                      <w:pPr>
                        <w:pStyle w:val="Geenafstand"/>
                        <w:rPr>
                          <w:sz w:val="22"/>
                          <w:szCs w:val="22"/>
                          <w:lang w:val="nl-NL"/>
                        </w:rPr>
                      </w:pPr>
                    </w:p>
                    <w:p w:rsidR="0025165D" w:rsidRPr="0025165D" w:rsidRDefault="0025165D" w:rsidP="0025165D">
                      <w:pPr>
                        <w:pStyle w:val="RedBullets"/>
                        <w:rPr>
                          <w:rFonts w:asciiTheme="majorHAnsi" w:hAnsiTheme="majorHAnsi" w:cstheme="majorHAnsi"/>
                          <w:sz w:val="22"/>
                          <w:szCs w:val="22"/>
                          <w:lang w:val="nl-NL"/>
                        </w:rPr>
                      </w:pPr>
                      <w:r w:rsidRPr="0025165D">
                        <w:rPr>
                          <w:rFonts w:asciiTheme="majorHAnsi" w:hAnsiTheme="majorHAnsi" w:cstheme="majorHAnsi"/>
                          <w:sz w:val="22"/>
                          <w:szCs w:val="22"/>
                          <w:lang w:val="nl-NL"/>
                        </w:rPr>
                        <w:t>de reikwijdte en de frequentie van zowel de interne als externe evaluaties;</w:t>
                      </w:r>
                    </w:p>
                    <w:p w:rsidR="0025165D" w:rsidRPr="0025165D" w:rsidRDefault="0025165D" w:rsidP="0025165D">
                      <w:pPr>
                        <w:pStyle w:val="RedBullets"/>
                        <w:rPr>
                          <w:rFonts w:asciiTheme="majorHAnsi" w:hAnsiTheme="majorHAnsi" w:cstheme="majorHAnsi"/>
                          <w:sz w:val="22"/>
                          <w:szCs w:val="22"/>
                          <w:lang w:val="nl-NL"/>
                        </w:rPr>
                      </w:pPr>
                      <w:r w:rsidRPr="0025165D">
                        <w:rPr>
                          <w:rFonts w:asciiTheme="majorHAnsi" w:hAnsiTheme="majorHAnsi" w:cstheme="majorHAnsi"/>
                          <w:sz w:val="22"/>
                          <w:szCs w:val="22"/>
                          <w:lang w:val="nl-NL"/>
                        </w:rPr>
                        <w:t>de kwalificaties en de onafhankelijkheid van de beoordelaar(s) of het beoordelingsteam, inclusief potentiële belangenconflicten;</w:t>
                      </w:r>
                    </w:p>
                    <w:p w:rsidR="0025165D" w:rsidRPr="0025165D" w:rsidRDefault="0025165D" w:rsidP="0025165D">
                      <w:pPr>
                        <w:pStyle w:val="RedBullets"/>
                        <w:rPr>
                          <w:rFonts w:asciiTheme="majorHAnsi" w:hAnsiTheme="majorHAnsi" w:cstheme="majorHAnsi"/>
                          <w:sz w:val="22"/>
                          <w:szCs w:val="22"/>
                          <w:lang w:val="nl-NL"/>
                        </w:rPr>
                      </w:pPr>
                      <w:r w:rsidRPr="0025165D">
                        <w:rPr>
                          <w:rFonts w:asciiTheme="majorHAnsi" w:hAnsiTheme="majorHAnsi" w:cstheme="majorHAnsi"/>
                          <w:sz w:val="22"/>
                          <w:szCs w:val="22"/>
                          <w:lang w:val="nl-NL"/>
                        </w:rPr>
                        <w:t>de conclusies van de beoordelaars;</w:t>
                      </w:r>
                    </w:p>
                    <w:p w:rsidR="0025165D" w:rsidRPr="0025165D" w:rsidRDefault="0025165D" w:rsidP="0025165D">
                      <w:pPr>
                        <w:pStyle w:val="RedBullets"/>
                        <w:rPr>
                          <w:rFonts w:asciiTheme="majorHAnsi" w:hAnsiTheme="majorHAnsi" w:cstheme="majorHAnsi"/>
                          <w:sz w:val="22"/>
                          <w:szCs w:val="22"/>
                          <w:lang w:val="nl-NL"/>
                        </w:rPr>
                      </w:pPr>
                      <w:r w:rsidRPr="0025165D">
                        <w:rPr>
                          <w:rFonts w:asciiTheme="majorHAnsi" w:hAnsiTheme="majorHAnsi" w:cstheme="majorHAnsi"/>
                          <w:sz w:val="22"/>
                          <w:szCs w:val="22"/>
                          <w:lang w:val="nl-NL"/>
                        </w:rPr>
                        <w:t>corrigerende actieplannen.</w:t>
                      </w:r>
                    </w:p>
                    <w:p w:rsidR="0025165D" w:rsidRPr="0025165D" w:rsidRDefault="0025165D" w:rsidP="0025165D">
                      <w:pPr>
                        <w:pStyle w:val="Geenafstand"/>
                        <w:rPr>
                          <w:sz w:val="22"/>
                          <w:szCs w:val="22"/>
                          <w:lang w:val="nl-NL"/>
                        </w:rPr>
                      </w:pPr>
                    </w:p>
                    <w:p w:rsidR="0025165D" w:rsidRPr="0025165D" w:rsidRDefault="0025165D" w:rsidP="0025165D">
                      <w:pPr>
                        <w:pStyle w:val="RedBullets"/>
                        <w:numPr>
                          <w:ilvl w:val="0"/>
                          <w:numId w:val="0"/>
                        </w:numPr>
                        <w:ind w:left="360" w:hanging="360"/>
                        <w:rPr>
                          <w:rFonts w:asciiTheme="majorHAnsi" w:hAnsiTheme="majorHAnsi" w:cstheme="majorHAnsi"/>
                          <w:sz w:val="22"/>
                          <w:szCs w:val="22"/>
                          <w:lang w:val="nl-NL"/>
                        </w:rPr>
                      </w:pPr>
                      <w:r w:rsidRPr="0025165D">
                        <w:rPr>
                          <w:rFonts w:asciiTheme="majorHAnsi" w:hAnsiTheme="majorHAnsi" w:cstheme="majorHAnsi"/>
                          <w:b/>
                          <w:sz w:val="22"/>
                          <w:szCs w:val="22"/>
                          <w:lang w:val="nl-NL"/>
                        </w:rPr>
                        <w:t>Interpretatie</w:t>
                      </w:r>
                      <w:r w:rsidRPr="0025165D">
                        <w:rPr>
                          <w:rFonts w:asciiTheme="majorHAnsi" w:hAnsiTheme="majorHAnsi" w:cstheme="majorHAnsi"/>
                          <w:sz w:val="22"/>
                          <w:szCs w:val="22"/>
                          <w:lang w:val="nl-NL"/>
                        </w:rPr>
                        <w:t>:</w:t>
                      </w:r>
                    </w:p>
                    <w:p w:rsidR="0025165D" w:rsidRDefault="0025165D" w:rsidP="0025165D">
                      <w:pPr>
                        <w:pStyle w:val="Geenafstand"/>
                        <w:rPr>
                          <w:lang w:val="nl-NL"/>
                        </w:rPr>
                      </w:pPr>
                    </w:p>
                    <w:p w:rsidR="0025165D" w:rsidRPr="0025165D" w:rsidRDefault="0025165D" w:rsidP="0025165D">
                      <w:pPr>
                        <w:pStyle w:val="RedBullets"/>
                        <w:numPr>
                          <w:ilvl w:val="0"/>
                          <w:numId w:val="0"/>
                        </w:numPr>
                        <w:rPr>
                          <w:rFonts w:asciiTheme="majorHAnsi" w:hAnsiTheme="majorHAnsi" w:cstheme="majorHAnsi"/>
                          <w:i/>
                          <w:sz w:val="22"/>
                          <w:szCs w:val="22"/>
                          <w:lang w:val="nl-NL"/>
                        </w:rPr>
                      </w:pPr>
                      <w:r w:rsidRPr="0025165D">
                        <w:rPr>
                          <w:rFonts w:asciiTheme="majorHAnsi" w:hAnsiTheme="majorHAnsi" w:cstheme="majorHAnsi"/>
                          <w:i/>
                          <w:sz w:val="22"/>
                          <w:szCs w:val="22"/>
                          <w:lang w:val="nl-NL"/>
                        </w:rPr>
                        <w:t>De vorm, inhoud en frequentie van de communicatie van de resultaten van het programma voor kwaliteitsbewaking en -verbetering worden vastgesteld op basis van gesprekken met het senior management en het bestuur. Hierbij worden de verantwoordelijkheden van de internal-auditfunctie en het hoofd van de internal-auditfunctie zoals omschreven in het internal-auditcharter betrokken. Om de naleving van de gedragscode en de Standaarden aan te tonen, worden de resultaten van de externe en periodieke interne evaluaties gecommuniceerd bij de afronding van een dergelijke evaluatie en worden de resultaten van het voortdurend toezicht minstens eenmaal per jaar doorgegeven. De resultaten bevatten ook de conclusies van de beoordelaar of het beoordelingsteam met betrekking tot het niveau van naleving.</w:t>
                      </w:r>
                    </w:p>
                    <w:p w:rsidR="0025165D" w:rsidRPr="0025165D" w:rsidRDefault="0025165D" w:rsidP="0025165D">
                      <w:pPr>
                        <w:pStyle w:val="Geenafstand"/>
                        <w:rPr>
                          <w:lang w:val="nl-NL"/>
                        </w:rPr>
                      </w:pPr>
                    </w:p>
                  </w:txbxContent>
                </v:textbox>
                <w10:wrap type="square" anchorx="margin" anchory="margin"/>
              </v:shape>
            </w:pict>
          </mc:Fallback>
        </mc:AlternateContent>
      </w:r>
      <w:r w:rsidR="00685768" w:rsidRPr="0025165D">
        <w:rPr>
          <w:rFonts w:asciiTheme="minorHAnsi" w:hAnsiTheme="minorHAnsi" w:cstheme="minorHAnsi"/>
          <w:lang w:val="nl-NL"/>
        </w:rPr>
        <w:t xml:space="preserve">Inleiding </w:t>
      </w:r>
    </w:p>
    <w:p w:rsidR="00B24B48" w:rsidRPr="0025165D" w:rsidRDefault="00B24B48" w:rsidP="00B24B48">
      <w:pPr>
        <w:pStyle w:val="TemplateHeadline"/>
        <w:rPr>
          <w:rFonts w:asciiTheme="minorHAnsi" w:hAnsiTheme="minorHAnsi" w:cstheme="minorHAnsi"/>
          <w:color w:val="000000"/>
          <w:sz w:val="22"/>
          <w:szCs w:val="22"/>
          <w:lang w:val="nl-NL"/>
        </w:rPr>
      </w:pPr>
      <w:r w:rsidRPr="0025165D">
        <w:rPr>
          <w:rFonts w:asciiTheme="minorHAnsi" w:hAnsiTheme="minorHAnsi" w:cstheme="minorHAnsi"/>
          <w:color w:val="000000"/>
          <w:sz w:val="22"/>
          <w:szCs w:val="22"/>
          <w:lang w:val="nl-NL"/>
        </w:rPr>
        <w:t xml:space="preserve">Standaard 1320 geeft de minimumcriteria die het hoofd van de internal auditfunctie (CAE) moet communiceren aan het senior management en het bestuur in verband met het kwaliteitsbewakings- en verbeterprogramma (QAIP). Beoordeling van de vereisten met betrekking tot elk element in de standaard kan de CAE helpen bij de voorbereiding van de implementatie van deze standaard. </w:t>
      </w:r>
    </w:p>
    <w:p w:rsidR="00B24B48" w:rsidRPr="0025165D" w:rsidRDefault="00B24B48" w:rsidP="00B24B48">
      <w:pPr>
        <w:pStyle w:val="TemplateHeadline"/>
        <w:rPr>
          <w:rFonts w:asciiTheme="minorHAnsi" w:hAnsiTheme="minorHAnsi" w:cstheme="minorHAnsi"/>
          <w:color w:val="000000"/>
          <w:sz w:val="22"/>
          <w:szCs w:val="22"/>
          <w:lang w:val="nl-NL"/>
        </w:rPr>
      </w:pPr>
      <w:r w:rsidRPr="0025165D">
        <w:rPr>
          <w:rFonts w:asciiTheme="minorHAnsi" w:hAnsiTheme="minorHAnsi" w:cstheme="minorHAnsi"/>
          <w:color w:val="000000"/>
          <w:sz w:val="22"/>
          <w:szCs w:val="22"/>
          <w:lang w:val="nl-NL"/>
        </w:rPr>
        <w:t xml:space="preserve">Zoals deze standaard aangeeft, is de CAE verantwoordelijk voor het communiceren van resultaten van het gehele programma. Om dit te kunnen doen, moet de CAE inzicht hebben in de vereisten van het QAIP (zie Standaard 1300 – Kwaliteitsbewakings- en verbeterprogramma). De CAE vergadert doorgaans regelmatig met het senior management en het bestuur om de verwachtingen voor de communicatie rondom de internal auditfunctie, inclusief die betreffende het QAIP, te bespreken en overeen te komen. De CAE neemt ook de verantwoordelijkheden in beschouwing die verband houden met het QAIP en in het internal auditcharter zijn omschreven. </w:t>
      </w:r>
    </w:p>
    <w:p w:rsidR="002C0B84" w:rsidRPr="0025165D" w:rsidRDefault="00B24B48" w:rsidP="00B24B48">
      <w:pPr>
        <w:pStyle w:val="TemplateHeadline"/>
        <w:rPr>
          <w:rFonts w:asciiTheme="minorHAnsi" w:hAnsiTheme="minorHAnsi" w:cstheme="minorHAnsi"/>
          <w:color w:val="000000"/>
          <w:sz w:val="22"/>
          <w:szCs w:val="22"/>
          <w:lang w:val="nl-NL"/>
        </w:rPr>
      </w:pPr>
      <w:r w:rsidRPr="0025165D">
        <w:rPr>
          <w:rFonts w:asciiTheme="minorHAnsi" w:hAnsiTheme="minorHAnsi" w:cstheme="minorHAnsi"/>
          <w:color w:val="000000"/>
          <w:sz w:val="22"/>
          <w:szCs w:val="22"/>
          <w:lang w:val="nl-NL"/>
        </w:rPr>
        <w:t>De CAE dient bekend te zijn met interne evaluaties, met inbegrip van periodieke evaluaties en voortdurende bewaking, evenals afgeronde externe evaluaties. Als zodanig dient de CAE inzicht te hebben in de mate waarin de internal auditfunctie de Internationale standaarden voor de beroepsuitoefening van internal auditing (Standaarden) en de Gedragscode van het IIA naleeft.</w:t>
      </w:r>
    </w:p>
    <w:p w:rsidR="00B24B48" w:rsidRPr="0025165D" w:rsidRDefault="00B24B48" w:rsidP="00B24B48">
      <w:pPr>
        <w:pStyle w:val="TemplateHeadline"/>
        <w:rPr>
          <w:rFonts w:asciiTheme="minorHAnsi" w:hAnsiTheme="minorHAnsi" w:cstheme="minorHAnsi"/>
          <w:color w:val="000000"/>
          <w:sz w:val="22"/>
          <w:szCs w:val="22"/>
          <w:lang w:val="nl-NL"/>
        </w:rPr>
      </w:pPr>
    </w:p>
    <w:p w:rsidR="002F57B5" w:rsidRPr="0025165D" w:rsidRDefault="00685768" w:rsidP="002F57B5">
      <w:pPr>
        <w:pStyle w:val="TemplateHeadline"/>
        <w:rPr>
          <w:rFonts w:asciiTheme="minorHAnsi" w:hAnsiTheme="minorHAnsi" w:cstheme="minorHAnsi"/>
          <w:lang w:val="nl-NL"/>
        </w:rPr>
      </w:pPr>
      <w:r w:rsidRPr="0025165D">
        <w:rPr>
          <w:rFonts w:asciiTheme="minorHAnsi" w:hAnsiTheme="minorHAnsi" w:cstheme="minorHAnsi"/>
          <w:lang w:val="nl-NL"/>
        </w:rPr>
        <w:t xml:space="preserve">Overwegingen bij de implementatie </w:t>
      </w:r>
    </w:p>
    <w:p w:rsidR="002F57B5" w:rsidRPr="0025165D" w:rsidRDefault="00B24B48" w:rsidP="002F57B5">
      <w:pPr>
        <w:pStyle w:val="TemplateHeadline"/>
        <w:rPr>
          <w:rFonts w:asciiTheme="minorHAnsi" w:hAnsiTheme="minorHAnsi" w:cstheme="minorHAnsi"/>
          <w:color w:val="000000"/>
          <w:sz w:val="22"/>
          <w:szCs w:val="22"/>
          <w:lang w:val="nl-NL"/>
        </w:rPr>
      </w:pPr>
      <w:r w:rsidRPr="0025165D">
        <w:rPr>
          <w:rFonts w:asciiTheme="minorHAnsi" w:hAnsiTheme="minorHAnsi" w:cstheme="minorHAnsi"/>
          <w:color w:val="000000"/>
          <w:sz w:val="22"/>
          <w:szCs w:val="22"/>
          <w:lang w:val="nl-NL"/>
        </w:rPr>
        <w:t xml:space="preserve">Normaal gesproken worden de gegevens over het QAIP gedocumenteerd in de beleids- en </w:t>
      </w:r>
      <w:proofErr w:type="spellStart"/>
      <w:r w:rsidRPr="0025165D">
        <w:rPr>
          <w:rFonts w:asciiTheme="minorHAnsi" w:hAnsiTheme="minorHAnsi" w:cstheme="minorHAnsi"/>
          <w:color w:val="000000"/>
          <w:sz w:val="22"/>
          <w:szCs w:val="22"/>
          <w:lang w:val="nl-NL"/>
        </w:rPr>
        <w:t>procedureshandleiding</w:t>
      </w:r>
      <w:proofErr w:type="spellEnd"/>
      <w:r w:rsidRPr="0025165D">
        <w:rPr>
          <w:rFonts w:asciiTheme="minorHAnsi" w:hAnsiTheme="minorHAnsi" w:cstheme="minorHAnsi"/>
          <w:color w:val="000000"/>
          <w:sz w:val="22"/>
          <w:szCs w:val="22"/>
          <w:lang w:val="nl-NL"/>
        </w:rPr>
        <w:t xml:space="preserve"> voor de internal auditfunctie (zie Standaard 2040 – Beleid en Procedures) en het internal auditcharter (zie Standaard 1010 – Erkenning van de dwingende richtlijnen in het internal auditcharter). De CAE kan beginnen door deze informatie te beoordelen teneinde zich inzicht te verschaffen in de communicatievereisten in verband met de rapportage over het QAIP, die vier kernelementen omvatten:</w:t>
      </w:r>
    </w:p>
    <w:p w:rsidR="00B24B48" w:rsidRPr="0025165D" w:rsidRDefault="00B24B48" w:rsidP="00B24B48">
      <w:pPr>
        <w:pStyle w:val="RedBullets"/>
        <w:rPr>
          <w:rFonts w:asciiTheme="minorHAnsi" w:hAnsiTheme="minorHAnsi" w:cstheme="minorHAnsi"/>
          <w:sz w:val="22"/>
          <w:szCs w:val="22"/>
          <w:lang w:val="nl-NL"/>
        </w:rPr>
      </w:pPr>
      <w:r w:rsidRPr="0025165D">
        <w:rPr>
          <w:rFonts w:asciiTheme="minorHAnsi" w:hAnsiTheme="minorHAnsi" w:cstheme="minorHAnsi"/>
          <w:sz w:val="22"/>
          <w:szCs w:val="22"/>
          <w:lang w:val="nl-NL"/>
        </w:rPr>
        <w:lastRenderedPageBreak/>
        <w:t>Reikwijdte en frequentie van interne en externe evaluaties;</w:t>
      </w:r>
    </w:p>
    <w:p w:rsidR="00B24B48" w:rsidRPr="0025165D" w:rsidRDefault="00B24B48" w:rsidP="00B24B48">
      <w:pPr>
        <w:pStyle w:val="RedBullets"/>
        <w:rPr>
          <w:rFonts w:asciiTheme="minorHAnsi" w:hAnsiTheme="minorHAnsi" w:cstheme="minorHAnsi"/>
          <w:sz w:val="22"/>
          <w:szCs w:val="22"/>
          <w:lang w:val="nl-NL"/>
        </w:rPr>
      </w:pPr>
      <w:r w:rsidRPr="0025165D">
        <w:rPr>
          <w:rFonts w:asciiTheme="minorHAnsi" w:hAnsiTheme="minorHAnsi" w:cstheme="minorHAnsi"/>
          <w:sz w:val="22"/>
          <w:szCs w:val="22"/>
          <w:lang w:val="nl-NL"/>
        </w:rPr>
        <w:t>Kwalificaties en onafhankelijkheid van de beoordelaars.</w:t>
      </w:r>
    </w:p>
    <w:p w:rsidR="00B24B48" w:rsidRPr="0025165D" w:rsidRDefault="00B24B48" w:rsidP="00B24B48">
      <w:pPr>
        <w:pStyle w:val="RedBullets"/>
        <w:rPr>
          <w:rFonts w:asciiTheme="minorHAnsi" w:hAnsiTheme="minorHAnsi" w:cstheme="minorHAnsi"/>
          <w:sz w:val="22"/>
          <w:szCs w:val="22"/>
          <w:lang w:val="nl-NL"/>
        </w:rPr>
      </w:pPr>
      <w:r w:rsidRPr="0025165D">
        <w:rPr>
          <w:rFonts w:asciiTheme="minorHAnsi" w:hAnsiTheme="minorHAnsi" w:cstheme="minorHAnsi"/>
          <w:sz w:val="22"/>
          <w:szCs w:val="22"/>
          <w:lang w:val="nl-NL"/>
        </w:rPr>
        <w:t>Conclusies van beoordelaars;</w:t>
      </w:r>
    </w:p>
    <w:p w:rsidR="00B24B48" w:rsidRPr="0025165D" w:rsidRDefault="00B24B48" w:rsidP="00B24B48">
      <w:pPr>
        <w:pStyle w:val="RedBullets"/>
        <w:rPr>
          <w:rFonts w:asciiTheme="minorHAnsi" w:hAnsiTheme="minorHAnsi" w:cstheme="minorHAnsi"/>
          <w:sz w:val="22"/>
          <w:szCs w:val="22"/>
          <w:lang w:val="nl-NL"/>
        </w:rPr>
      </w:pPr>
      <w:r w:rsidRPr="0025165D">
        <w:rPr>
          <w:rFonts w:asciiTheme="minorHAnsi" w:hAnsiTheme="minorHAnsi" w:cstheme="minorHAnsi"/>
          <w:sz w:val="22"/>
          <w:szCs w:val="22"/>
          <w:lang w:val="nl-NL"/>
        </w:rPr>
        <w:t>Actieplannen met corrigerende maatregelen.</w:t>
      </w:r>
    </w:p>
    <w:p w:rsidR="00B24B48" w:rsidRPr="0025165D" w:rsidRDefault="00B24B48" w:rsidP="00B24B48">
      <w:pPr>
        <w:pStyle w:val="Kop2"/>
        <w:rPr>
          <w:rFonts w:asciiTheme="minorHAnsi" w:hAnsiTheme="minorHAnsi" w:cstheme="minorHAnsi"/>
          <w:sz w:val="22"/>
          <w:szCs w:val="22"/>
          <w:lang w:val="nl-NL"/>
        </w:rPr>
      </w:pPr>
    </w:p>
    <w:p w:rsidR="00B24B48" w:rsidRPr="0025165D" w:rsidRDefault="00B24B48" w:rsidP="00B24B48">
      <w:pPr>
        <w:pStyle w:val="Kop2"/>
        <w:rPr>
          <w:rFonts w:asciiTheme="minorHAnsi" w:hAnsiTheme="minorHAnsi" w:cstheme="minorHAnsi"/>
          <w:sz w:val="22"/>
          <w:szCs w:val="22"/>
          <w:lang w:val="nl-NL"/>
        </w:rPr>
      </w:pPr>
      <w:r w:rsidRPr="0025165D">
        <w:rPr>
          <w:rFonts w:asciiTheme="minorHAnsi" w:hAnsiTheme="minorHAnsi" w:cstheme="minorHAnsi"/>
          <w:sz w:val="22"/>
          <w:szCs w:val="22"/>
          <w:lang w:val="nl-NL"/>
        </w:rPr>
        <w:t>Reikwijdte en frequentie van zowel interne als externe evaluaties;</w:t>
      </w:r>
    </w:p>
    <w:p w:rsidR="00B24B48" w:rsidRPr="0025165D" w:rsidRDefault="00B24B48" w:rsidP="00B24B48">
      <w:pPr>
        <w:pStyle w:val="TemplateHeadline"/>
        <w:rPr>
          <w:rFonts w:asciiTheme="minorHAnsi" w:hAnsiTheme="minorHAnsi" w:cstheme="minorHAnsi"/>
          <w:color w:val="000000"/>
          <w:sz w:val="22"/>
          <w:szCs w:val="22"/>
          <w:lang w:val="nl-NL"/>
        </w:rPr>
      </w:pPr>
      <w:r w:rsidRPr="0025165D">
        <w:rPr>
          <w:rFonts w:asciiTheme="minorHAnsi" w:hAnsiTheme="minorHAnsi" w:cstheme="minorHAnsi"/>
          <w:color w:val="000000"/>
          <w:sz w:val="22"/>
          <w:szCs w:val="22"/>
          <w:lang w:val="nl-NL"/>
        </w:rPr>
        <w:t>De reikwijdte en frequentie van zowel interne als externe evaluaties moeten worden besproken met het bestuur en het senior management (zie Standaard 1311 – Interne evaluaties en Standaard 1312 – Externe evaluaties). De reikwijdte dient de verantwoordelijkheden van de internal auditfunctie en de CAE in acht te nemen, zoals omschreven in het internal auditcharter. De reikwijdte kan de verwachtingen van bestuur en senior management omtrent de internal auditfunctie omvatten, evenals verwachtingen die door andere stakeholders zijn geuit. De reikwijdte kan ook internal auditpraktijken omvatten die zijn beoordeeld tegen de Standaarden, alsmede alle andere wettelijke vereisten die de internal auditfunctie kunnen beïnvloeden. De frequentie van externe evaluaties varieert afhankelijk van de omvang en volwassenheid van de internal auditfunctie.</w:t>
      </w:r>
    </w:p>
    <w:p w:rsidR="00946CF4" w:rsidRPr="0025165D" w:rsidRDefault="0025165D" w:rsidP="00946CF4">
      <w:pPr>
        <w:pStyle w:val="Kop3"/>
        <w:rPr>
          <w:rFonts w:asciiTheme="minorHAnsi" w:hAnsiTheme="minorHAnsi" w:cstheme="minorHAnsi"/>
          <w:sz w:val="22"/>
          <w:szCs w:val="22"/>
          <w:lang w:val="nl-NL"/>
        </w:rPr>
      </w:pPr>
      <w:r>
        <w:rPr>
          <w:rFonts w:asciiTheme="minorHAnsi" w:hAnsiTheme="minorHAnsi" w:cstheme="minorHAnsi"/>
          <w:sz w:val="22"/>
          <w:szCs w:val="22"/>
          <w:lang w:val="nl-NL"/>
        </w:rPr>
        <w:br/>
      </w:r>
      <w:r w:rsidR="00946CF4" w:rsidRPr="0025165D">
        <w:rPr>
          <w:rFonts w:asciiTheme="minorHAnsi" w:hAnsiTheme="minorHAnsi" w:cstheme="minorHAnsi"/>
          <w:sz w:val="22"/>
          <w:szCs w:val="22"/>
          <w:lang w:val="nl-NL"/>
        </w:rPr>
        <w:t>Interne evaluaties</w:t>
      </w:r>
    </w:p>
    <w:p w:rsidR="00946CF4" w:rsidRPr="0025165D" w:rsidRDefault="00946CF4" w:rsidP="00946CF4">
      <w:pPr>
        <w:pStyle w:val="TemplateHeadline"/>
        <w:rPr>
          <w:rFonts w:asciiTheme="minorHAnsi" w:hAnsiTheme="minorHAnsi" w:cstheme="minorHAnsi"/>
          <w:color w:val="000000"/>
          <w:sz w:val="22"/>
          <w:szCs w:val="22"/>
          <w:lang w:val="nl-NL"/>
        </w:rPr>
      </w:pPr>
      <w:r w:rsidRPr="0025165D">
        <w:rPr>
          <w:rFonts w:asciiTheme="minorHAnsi" w:hAnsiTheme="minorHAnsi" w:cstheme="minorHAnsi"/>
          <w:color w:val="000000"/>
          <w:sz w:val="22"/>
          <w:szCs w:val="22"/>
          <w:lang w:val="nl-NL"/>
        </w:rPr>
        <w:t xml:space="preserve">De CAE moet ervoor zorgen dat een middel om de resultaten van interne evaluaties ten minste jaarlijks worden gecommuniceerd om de geloofwaardigheid en objectiviteit van de internal auditfunctie te vergroten. In de interpretatie van Standaard 1320 staat dat de resultaten van periodieke interne evaluaties dienen te worden gecommuniceerd na afronding van dergelijke beoordelingen, en de resultaten van voortdurende bewaking dienen ten minste eenmaal per jaar te worden gecommuniceerd. </w:t>
      </w:r>
    </w:p>
    <w:p w:rsidR="00946CF4" w:rsidRPr="0025165D" w:rsidRDefault="00946CF4" w:rsidP="00946CF4">
      <w:pPr>
        <w:pStyle w:val="TemplateHeadline"/>
        <w:rPr>
          <w:rFonts w:asciiTheme="minorHAnsi" w:hAnsiTheme="minorHAnsi" w:cstheme="minorHAnsi"/>
          <w:color w:val="000000"/>
          <w:sz w:val="22"/>
          <w:szCs w:val="22"/>
          <w:lang w:val="nl-NL"/>
        </w:rPr>
      </w:pPr>
      <w:r w:rsidRPr="0025165D">
        <w:rPr>
          <w:rFonts w:asciiTheme="minorHAnsi" w:hAnsiTheme="minorHAnsi" w:cstheme="minorHAnsi"/>
          <w:color w:val="000000"/>
          <w:sz w:val="22"/>
          <w:szCs w:val="22"/>
          <w:lang w:val="nl-NL"/>
        </w:rPr>
        <w:t>Periodieke interne evaluaties kunnen een evaluatie bevatten van de naleving van de Standaarden door de internal auditfunctie ter ondersteuning van de nalevingsverklaring van de internal auditfunctie (zie Standaard 1321 - Gebruik van de uitdrukking "In overeenstemming met de Internationale Standaarden voor de Beroepsuitoefening van Internal auditing"). Grotere organisaties kunnen jaarlijks periodieke interne evaluaties uitvoeren, terwijl kleinere of minder volwassen internal auditfuncties deze minder vaak kunnen uitvoeren (bv., elke twee jaar). De internal auditfunctie kan bijvoorbeeld een periodieke beoordeling uitvoeren over een meerjarige periode, en rapporteren over de resultaten van de werkzaamheden die tijdens elke periode afzonderlijk zijn verricht.</w:t>
      </w:r>
    </w:p>
    <w:p w:rsidR="00946CF4" w:rsidRPr="0025165D" w:rsidRDefault="00946CF4" w:rsidP="00946CF4">
      <w:pPr>
        <w:pStyle w:val="TemplateHeadline"/>
        <w:rPr>
          <w:rFonts w:asciiTheme="minorHAnsi" w:hAnsiTheme="minorHAnsi" w:cstheme="minorHAnsi"/>
          <w:color w:val="000000"/>
          <w:sz w:val="22"/>
          <w:szCs w:val="22"/>
          <w:lang w:val="nl-NL"/>
        </w:rPr>
      </w:pPr>
      <w:r w:rsidRPr="0025165D">
        <w:rPr>
          <w:rFonts w:asciiTheme="minorHAnsi" w:hAnsiTheme="minorHAnsi" w:cstheme="minorHAnsi"/>
          <w:color w:val="000000"/>
          <w:sz w:val="22"/>
          <w:szCs w:val="22"/>
          <w:lang w:val="nl-NL"/>
        </w:rPr>
        <w:t xml:space="preserve">Voortdurende bewaking omvat meestal rapportage over belangrijke prestatie-indicatoren voor internal auditing. De CAE kan een jaarverslag verstrekken aan het senior management en het bestuur met betrekking tot de resultaten van het voortdurende toezicht en aanbevelingen voor verbetering insluiten. </w:t>
      </w:r>
    </w:p>
    <w:p w:rsidR="00946CF4" w:rsidRPr="0025165D" w:rsidRDefault="00946CF4" w:rsidP="00946CF4">
      <w:pPr>
        <w:pStyle w:val="TemplateHeadline"/>
        <w:rPr>
          <w:rFonts w:asciiTheme="minorHAnsi" w:hAnsiTheme="minorHAnsi" w:cstheme="minorHAnsi"/>
          <w:color w:val="000000"/>
          <w:sz w:val="22"/>
          <w:szCs w:val="22"/>
          <w:lang w:val="nl-NL"/>
        </w:rPr>
      </w:pPr>
      <w:r w:rsidRPr="0025165D">
        <w:rPr>
          <w:rFonts w:asciiTheme="minorHAnsi" w:hAnsiTheme="minorHAnsi" w:cstheme="minorHAnsi"/>
          <w:color w:val="000000"/>
          <w:sz w:val="22"/>
          <w:szCs w:val="22"/>
          <w:lang w:val="nl-NL"/>
        </w:rPr>
        <w:lastRenderedPageBreak/>
        <w:t>Over het algemeen geven degenen die verantwoordelijk zijn voor het uitvoeren van voortdurende bewaking en periodieke interne evaluaties de resultaten rechtstreeks aan de CAE tijdens de uitvoering van de evaluaties. Bij een kleinere internal auditfunctie kan de CAE een grotere directe rol spelen bij het interne beoordelingsproces. De resultaten van interne evaluaties omvatten, in voorkomend geval, actieplannen met corrigerende maatregelen en voortgang naar voltooiing. De CAE kan interne beoordelingsverslagen verstrekken aan verschillende stakeholders, waaronder het senior management, het bestuur en externe auditors.</w:t>
      </w:r>
    </w:p>
    <w:p w:rsidR="00946CF4" w:rsidRPr="0025165D" w:rsidRDefault="00946CF4" w:rsidP="00946CF4">
      <w:pPr>
        <w:pStyle w:val="TemplateHeadline"/>
        <w:rPr>
          <w:rFonts w:asciiTheme="minorHAnsi" w:hAnsiTheme="minorHAnsi" w:cstheme="minorHAnsi"/>
          <w:color w:val="000000"/>
          <w:sz w:val="22"/>
          <w:szCs w:val="22"/>
          <w:lang w:val="nl-NL"/>
        </w:rPr>
      </w:pPr>
      <w:r w:rsidRPr="0025165D">
        <w:rPr>
          <w:rFonts w:asciiTheme="minorHAnsi" w:hAnsiTheme="minorHAnsi" w:cstheme="minorHAnsi"/>
          <w:color w:val="000000"/>
          <w:sz w:val="22"/>
          <w:szCs w:val="22"/>
          <w:lang w:val="nl-NL"/>
        </w:rPr>
        <w:t>Implementatierichtlijn 1311 – Interne evaluaties geeft extra details over voortdurende bewaking en periodieke interne evaluaties.</w:t>
      </w:r>
    </w:p>
    <w:p w:rsidR="00946CF4" w:rsidRPr="0025165D" w:rsidRDefault="0025165D" w:rsidP="00946CF4">
      <w:pPr>
        <w:pStyle w:val="Kop3"/>
        <w:rPr>
          <w:rFonts w:asciiTheme="minorHAnsi" w:hAnsiTheme="minorHAnsi" w:cstheme="minorHAnsi"/>
          <w:sz w:val="22"/>
          <w:szCs w:val="22"/>
          <w:lang w:val="nl-NL"/>
        </w:rPr>
      </w:pPr>
      <w:r>
        <w:rPr>
          <w:rFonts w:asciiTheme="minorHAnsi" w:hAnsiTheme="minorHAnsi" w:cstheme="minorHAnsi"/>
          <w:sz w:val="22"/>
          <w:szCs w:val="22"/>
          <w:lang w:val="nl-NL"/>
        </w:rPr>
        <w:br/>
      </w:r>
      <w:r w:rsidR="00946CF4" w:rsidRPr="0025165D">
        <w:rPr>
          <w:rFonts w:asciiTheme="minorHAnsi" w:hAnsiTheme="minorHAnsi" w:cstheme="minorHAnsi"/>
          <w:sz w:val="22"/>
          <w:szCs w:val="22"/>
          <w:lang w:val="nl-NL"/>
        </w:rPr>
        <w:t>Externe evaluaties</w:t>
      </w:r>
    </w:p>
    <w:p w:rsidR="00946CF4" w:rsidRPr="0025165D" w:rsidRDefault="00946CF4" w:rsidP="00946CF4">
      <w:pPr>
        <w:pStyle w:val="TemplateHeadline"/>
        <w:rPr>
          <w:rFonts w:asciiTheme="minorHAnsi" w:hAnsiTheme="minorHAnsi" w:cstheme="minorHAnsi"/>
          <w:color w:val="000000"/>
          <w:sz w:val="22"/>
          <w:szCs w:val="22"/>
          <w:lang w:val="nl-NL"/>
        </w:rPr>
      </w:pPr>
      <w:r w:rsidRPr="0025165D">
        <w:rPr>
          <w:rFonts w:asciiTheme="minorHAnsi" w:hAnsiTheme="minorHAnsi" w:cstheme="minorHAnsi"/>
          <w:color w:val="000000"/>
          <w:sz w:val="22"/>
          <w:szCs w:val="22"/>
          <w:lang w:val="nl-NL"/>
        </w:rPr>
        <w:t xml:space="preserve">De CAE moet de frequentie van externe evaluaties bespreken met het senior management en het bestuur. De Standaarden vereisen dat de internal auditfunctie ten minste eenmaal per vijf jaar een externe evaluatie ondergaat. Bij de bespreking van deze eisen met het senior management en het bestuur kan de CAE echter bepalen dat het passend is om een externe evaluatie vaker uit te voeren. Er zijn verschillende redenen om een  frequentere evaluatie te overwegen, inclusief veranderingen in leiderschap (bv., senior management of de CAE), belangrijke wijzigingen in het internal </w:t>
      </w:r>
      <w:proofErr w:type="spellStart"/>
      <w:r w:rsidRPr="0025165D">
        <w:rPr>
          <w:rFonts w:asciiTheme="minorHAnsi" w:hAnsiTheme="minorHAnsi" w:cstheme="minorHAnsi"/>
          <w:color w:val="000000"/>
          <w:sz w:val="22"/>
          <w:szCs w:val="22"/>
          <w:lang w:val="nl-NL"/>
        </w:rPr>
        <w:t>auditingbeleid</w:t>
      </w:r>
      <w:proofErr w:type="spellEnd"/>
      <w:r w:rsidRPr="0025165D">
        <w:rPr>
          <w:rFonts w:asciiTheme="minorHAnsi" w:hAnsiTheme="minorHAnsi" w:cstheme="minorHAnsi"/>
          <w:color w:val="000000"/>
          <w:sz w:val="22"/>
          <w:szCs w:val="22"/>
          <w:lang w:val="nl-NL"/>
        </w:rPr>
        <w:t xml:space="preserve"> of -procedures, de fusie van twee of meer auditorganisaties tot één internal auditfunctie of aanzienlijk personeelsverloop. Daarnaast kunnen industrie-specifieke of omgevingsfactoren een meer frequente beoordeling rechtvaardigen.</w:t>
      </w:r>
    </w:p>
    <w:p w:rsidR="00946CF4" w:rsidRPr="0025165D" w:rsidRDefault="00946CF4" w:rsidP="00946CF4">
      <w:pPr>
        <w:pStyle w:val="Geenafstand"/>
        <w:rPr>
          <w:rFonts w:cstheme="minorHAnsi"/>
          <w:sz w:val="22"/>
          <w:szCs w:val="22"/>
          <w:lang w:val="nl-NL"/>
        </w:rPr>
      </w:pPr>
    </w:p>
    <w:p w:rsidR="00946CF4" w:rsidRPr="0025165D" w:rsidRDefault="00946CF4" w:rsidP="00946CF4">
      <w:pPr>
        <w:pStyle w:val="Kop2"/>
        <w:rPr>
          <w:rFonts w:asciiTheme="minorHAnsi" w:hAnsiTheme="minorHAnsi" w:cstheme="minorHAnsi"/>
          <w:sz w:val="22"/>
          <w:szCs w:val="22"/>
          <w:lang w:val="nl-NL"/>
        </w:rPr>
      </w:pPr>
      <w:r w:rsidRPr="0025165D">
        <w:rPr>
          <w:rFonts w:asciiTheme="minorHAnsi" w:hAnsiTheme="minorHAnsi" w:cstheme="minorHAnsi"/>
          <w:sz w:val="22"/>
          <w:szCs w:val="22"/>
          <w:lang w:val="nl-NL"/>
        </w:rPr>
        <w:t>Kwalificaties en onafhankelijkheid van de beoordelaars</w:t>
      </w:r>
    </w:p>
    <w:p w:rsidR="00946CF4" w:rsidRPr="0025165D" w:rsidRDefault="00946CF4" w:rsidP="00946CF4">
      <w:pPr>
        <w:pStyle w:val="TemplateHeadline"/>
        <w:rPr>
          <w:rFonts w:asciiTheme="minorHAnsi" w:hAnsiTheme="minorHAnsi" w:cstheme="minorHAnsi"/>
          <w:color w:val="000000"/>
          <w:sz w:val="22"/>
          <w:szCs w:val="22"/>
          <w:lang w:val="nl-NL"/>
        </w:rPr>
      </w:pPr>
      <w:r w:rsidRPr="0025165D">
        <w:rPr>
          <w:rFonts w:asciiTheme="minorHAnsi" w:hAnsiTheme="minorHAnsi" w:cstheme="minorHAnsi"/>
          <w:color w:val="000000"/>
          <w:sz w:val="22"/>
          <w:szCs w:val="22"/>
          <w:lang w:val="nl-NL"/>
        </w:rPr>
        <w:t>Bij het kiezen van een externe beoordelaar of extern beoordelingsteam bespreekt de CAE doorgaans met het senior management en het bestuur de kwalificaties van de potentiële beoordelaar(s) en verschillende factoren die verband houden met onafhankelijkheid en objectiviteit, met inbegrip van actuele, potentiële of vermeende belangenverstrengelingen. Bij de rapportage van de resultaten van de externe evaluatie bevestigt de CAE doorgaans de kwalificaties en onafhankelijkheid van de externe beoordelaar of het externe beoordelingsteam. Alle feitelijke, potentiële of vermeende belangenverstrengelingen dienen te worden gerapporteerd aan het senior management en het bestuur. Implementatierichtlijn 1312 – Externe Evaluaties, biedt aanvullende gegevens over de kwalificatie en onafhankelijkheid van externe beoordelaars.</w:t>
      </w:r>
    </w:p>
    <w:p w:rsidR="00A71BA5" w:rsidRPr="0025165D" w:rsidRDefault="00A71BA5" w:rsidP="00A71BA5">
      <w:pPr>
        <w:pStyle w:val="Geenafstand"/>
        <w:rPr>
          <w:rFonts w:cstheme="minorHAnsi"/>
          <w:sz w:val="22"/>
          <w:szCs w:val="22"/>
          <w:lang w:val="nl-NL"/>
        </w:rPr>
      </w:pPr>
    </w:p>
    <w:p w:rsidR="00A71BA5" w:rsidRPr="0025165D" w:rsidRDefault="00A71BA5" w:rsidP="00A71BA5">
      <w:pPr>
        <w:pStyle w:val="Kop2"/>
        <w:rPr>
          <w:rFonts w:asciiTheme="minorHAnsi" w:hAnsiTheme="minorHAnsi" w:cstheme="minorHAnsi"/>
          <w:sz w:val="22"/>
          <w:szCs w:val="22"/>
          <w:lang w:val="nl-NL"/>
        </w:rPr>
      </w:pPr>
      <w:r w:rsidRPr="0025165D">
        <w:rPr>
          <w:rFonts w:asciiTheme="minorHAnsi" w:hAnsiTheme="minorHAnsi" w:cstheme="minorHAnsi"/>
          <w:sz w:val="22"/>
          <w:szCs w:val="22"/>
          <w:lang w:val="nl-NL"/>
        </w:rPr>
        <w:lastRenderedPageBreak/>
        <w:t xml:space="preserve">Conclusie van beoordelaars </w:t>
      </w:r>
    </w:p>
    <w:p w:rsidR="00A3340D" w:rsidRPr="0025165D" w:rsidRDefault="00A71BA5" w:rsidP="00A71BA5">
      <w:pPr>
        <w:pStyle w:val="TemplateHeadline"/>
        <w:rPr>
          <w:rFonts w:asciiTheme="minorHAnsi" w:hAnsiTheme="minorHAnsi" w:cstheme="minorHAnsi"/>
          <w:color w:val="000000"/>
          <w:sz w:val="22"/>
          <w:szCs w:val="22"/>
          <w:lang w:val="nl-NL"/>
        </w:rPr>
      </w:pPr>
      <w:r w:rsidRPr="0025165D">
        <w:rPr>
          <w:rFonts w:asciiTheme="minorHAnsi" w:hAnsiTheme="minorHAnsi" w:cstheme="minorHAnsi"/>
          <w:color w:val="000000"/>
          <w:sz w:val="22"/>
          <w:szCs w:val="22"/>
          <w:lang w:val="nl-NL"/>
        </w:rPr>
        <w:t>In externe evaluatieverslagen wordt een oordeel of conclusie gegeven over de resultaten van de externe evaluatie. Naast de conclusie over de algemene mate van naleving van de Standaarden door de internal auditfunctie kan het rapport een beoordeling voor elke standaard- en/of serie standaarden bevatten. De CAE dient de ratingconclusie(s), alsmede de impact van de resultaten, aan het senior management en het bestuur uit te leggen. Een voorbeeld van een ratingschaal die gebruikt kan worden om de mate van naleving te tonen is:</w:t>
      </w:r>
    </w:p>
    <w:p w:rsidR="00304B9F" w:rsidRPr="0025165D" w:rsidRDefault="00304B9F" w:rsidP="00304B9F">
      <w:pPr>
        <w:pStyle w:val="RedBullets"/>
        <w:rPr>
          <w:rFonts w:asciiTheme="minorHAnsi" w:hAnsiTheme="minorHAnsi" w:cstheme="minorHAnsi"/>
          <w:sz w:val="22"/>
          <w:szCs w:val="22"/>
          <w:lang w:val="nl-NL"/>
        </w:rPr>
      </w:pPr>
      <w:r w:rsidRPr="0025165D">
        <w:rPr>
          <w:rFonts w:asciiTheme="minorHAnsi" w:hAnsiTheme="minorHAnsi" w:cstheme="minorHAnsi"/>
          <w:b/>
          <w:sz w:val="22"/>
          <w:szCs w:val="22"/>
          <w:lang w:val="nl-NL"/>
        </w:rPr>
        <w:t>Voldoet over het algemeen</w:t>
      </w:r>
      <w:r w:rsidRPr="0025165D">
        <w:rPr>
          <w:rFonts w:asciiTheme="minorHAnsi" w:hAnsiTheme="minorHAnsi" w:cstheme="minorHAnsi"/>
          <w:sz w:val="22"/>
          <w:szCs w:val="22"/>
          <w:lang w:val="nl-NL"/>
        </w:rPr>
        <w:t xml:space="preserve"> – Dit is de hoogste rating, hetgeen betekent dat een internal auditfunctie een charter, beleidsregels en processen heeft en de uitvoering en resultaten ervan worden geacht in overeenstemming te zijn met de Standaarden.</w:t>
      </w:r>
    </w:p>
    <w:p w:rsidR="00304B9F" w:rsidRPr="0025165D" w:rsidRDefault="00304B9F" w:rsidP="00304B9F">
      <w:pPr>
        <w:pStyle w:val="RedBullets"/>
        <w:rPr>
          <w:rFonts w:asciiTheme="minorHAnsi" w:hAnsiTheme="minorHAnsi" w:cstheme="minorHAnsi"/>
          <w:sz w:val="22"/>
          <w:szCs w:val="22"/>
          <w:lang w:val="nl-NL"/>
        </w:rPr>
      </w:pPr>
      <w:r w:rsidRPr="0025165D">
        <w:rPr>
          <w:rFonts w:asciiTheme="minorHAnsi" w:hAnsiTheme="minorHAnsi" w:cstheme="minorHAnsi"/>
          <w:b/>
          <w:sz w:val="22"/>
          <w:szCs w:val="22"/>
          <w:lang w:val="nl-NL"/>
        </w:rPr>
        <w:t>Voldoet gedeeltelijk</w:t>
      </w:r>
      <w:r w:rsidRPr="0025165D">
        <w:rPr>
          <w:rFonts w:asciiTheme="minorHAnsi" w:hAnsiTheme="minorHAnsi" w:cstheme="minorHAnsi"/>
          <w:sz w:val="22"/>
          <w:szCs w:val="22"/>
          <w:lang w:val="nl-NL"/>
        </w:rPr>
        <w:t xml:space="preserve"> – Gebreken in de praktijk worden geacht af te wijken van de Standaarden, maar deze gebreken hebben de internal auditfunctie niet verhinderd te handelen overeenkomstig haar verantwoordelijkheden. </w:t>
      </w:r>
    </w:p>
    <w:p w:rsidR="00A71BA5" w:rsidRPr="0025165D" w:rsidRDefault="00304B9F" w:rsidP="00304B9F">
      <w:pPr>
        <w:pStyle w:val="RedBullets"/>
        <w:rPr>
          <w:rFonts w:asciiTheme="minorHAnsi" w:hAnsiTheme="minorHAnsi" w:cstheme="minorHAnsi"/>
          <w:sz w:val="22"/>
          <w:szCs w:val="22"/>
          <w:lang w:val="nl-NL"/>
        </w:rPr>
      </w:pPr>
      <w:r w:rsidRPr="0025165D">
        <w:rPr>
          <w:rFonts w:asciiTheme="minorHAnsi" w:hAnsiTheme="minorHAnsi" w:cstheme="minorHAnsi"/>
          <w:b/>
          <w:sz w:val="22"/>
          <w:szCs w:val="22"/>
          <w:lang w:val="nl-NL"/>
        </w:rPr>
        <w:t>Voldoet niet</w:t>
      </w:r>
      <w:r w:rsidRPr="0025165D">
        <w:rPr>
          <w:rFonts w:asciiTheme="minorHAnsi" w:hAnsiTheme="minorHAnsi" w:cstheme="minorHAnsi"/>
          <w:sz w:val="22"/>
          <w:szCs w:val="22"/>
          <w:lang w:val="nl-NL"/>
        </w:rPr>
        <w:t xml:space="preserve"> – Gebreken in de praktijk worden zo belangrijk geacht dat zij een adequate naleving door de internal auditfunctie op alle of belangrijke gebieden van de verantwoordelijkheden ernstig aantasten of verhinderen.</w:t>
      </w:r>
    </w:p>
    <w:p w:rsidR="00304B9F" w:rsidRPr="0025165D" w:rsidRDefault="00304B9F" w:rsidP="00304B9F">
      <w:pPr>
        <w:pStyle w:val="Geenafstand"/>
        <w:rPr>
          <w:rFonts w:cstheme="minorHAnsi"/>
          <w:sz w:val="22"/>
          <w:szCs w:val="22"/>
          <w:lang w:val="nl-NL"/>
        </w:rPr>
      </w:pPr>
    </w:p>
    <w:p w:rsidR="00304B9F" w:rsidRPr="0025165D" w:rsidRDefault="00304B9F" w:rsidP="00304B9F">
      <w:pPr>
        <w:pStyle w:val="Kop2"/>
        <w:rPr>
          <w:rFonts w:asciiTheme="minorHAnsi" w:hAnsiTheme="minorHAnsi" w:cstheme="minorHAnsi"/>
          <w:sz w:val="22"/>
          <w:szCs w:val="22"/>
          <w:lang w:val="nl-NL"/>
        </w:rPr>
      </w:pPr>
      <w:r w:rsidRPr="0025165D">
        <w:rPr>
          <w:rFonts w:asciiTheme="minorHAnsi" w:hAnsiTheme="minorHAnsi" w:cstheme="minorHAnsi"/>
          <w:sz w:val="22"/>
          <w:szCs w:val="22"/>
          <w:lang w:val="nl-NL"/>
        </w:rPr>
        <w:t>Actieplannen met corrigerende maatregelen</w:t>
      </w:r>
    </w:p>
    <w:p w:rsidR="00A71BA5" w:rsidRPr="0025165D" w:rsidRDefault="00304B9F" w:rsidP="00304B9F">
      <w:pPr>
        <w:pStyle w:val="TemplateHeadline"/>
        <w:rPr>
          <w:rFonts w:asciiTheme="minorHAnsi" w:hAnsiTheme="minorHAnsi" w:cstheme="minorHAnsi"/>
          <w:color w:val="000000"/>
          <w:sz w:val="22"/>
          <w:szCs w:val="22"/>
          <w:lang w:val="nl-NL"/>
        </w:rPr>
      </w:pPr>
      <w:r w:rsidRPr="0025165D">
        <w:rPr>
          <w:rFonts w:asciiTheme="minorHAnsi" w:hAnsiTheme="minorHAnsi" w:cstheme="minorHAnsi"/>
          <w:color w:val="000000"/>
          <w:sz w:val="22"/>
          <w:szCs w:val="22"/>
          <w:lang w:val="nl-NL"/>
        </w:rPr>
        <w:t>Tijdens een externe evaluatie kan de beoordelaar aanbevelingen doen om gebieden aan te pakken die niet in overeenstemming zijn met de Standaarden en verbetermogelijkheden aangeven. De CAE dient alle actieplannen om uitvoering te geven aan aanbevelingen van de externe evaluatie aan het senior management en het bestuur te communiceren. De CAE kan ook overwegen om de aanbevelingen en actieplannen van de externe evaluatie met betrekking tot de bevindingen van internal auditopdrachten toe te voegen aan de bestaande bewakingsprocessen van de internal auditfunctie (zie Standaard 2500 – Toezicht op de opvolging). Nadat aanbevelingen die tijdens de externe evaluatie zijn geïdentificeerd, zijn geïmplementeerd, communiceert de CAE dit in het algemeen aan het bestuur, hetzij als onderdeel van het toezicht op de opvolging door de internal auditfunctie of door afzonderlijk op te volgen door middel van de volgende interne evaluatie (Standaard 1311) als onderdeel van het QAIP.</w:t>
      </w:r>
    </w:p>
    <w:p w:rsidR="00304B9F" w:rsidRPr="0025165D" w:rsidRDefault="00304B9F" w:rsidP="00304B9F">
      <w:pPr>
        <w:pStyle w:val="TemplateHeadline"/>
        <w:rPr>
          <w:rFonts w:asciiTheme="minorHAnsi" w:hAnsiTheme="minorHAnsi" w:cstheme="minorHAnsi"/>
          <w:color w:val="000000"/>
          <w:sz w:val="22"/>
          <w:szCs w:val="22"/>
          <w:lang w:val="nl-NL"/>
        </w:rPr>
      </w:pPr>
    </w:p>
    <w:p w:rsidR="002F57B5" w:rsidRPr="0025165D" w:rsidRDefault="00685768" w:rsidP="002F57B5">
      <w:pPr>
        <w:pStyle w:val="TemplateHeadline"/>
        <w:rPr>
          <w:rFonts w:asciiTheme="minorHAnsi" w:hAnsiTheme="minorHAnsi" w:cstheme="minorHAnsi"/>
          <w:lang w:val="nl-NL"/>
        </w:rPr>
      </w:pPr>
      <w:r w:rsidRPr="0025165D">
        <w:rPr>
          <w:rFonts w:asciiTheme="minorHAnsi" w:hAnsiTheme="minorHAnsi" w:cstheme="minorHAnsi"/>
          <w:lang w:val="nl-NL"/>
        </w:rPr>
        <w:t>Overwegingen b</w:t>
      </w:r>
      <w:r w:rsidR="002F57B5" w:rsidRPr="0025165D">
        <w:rPr>
          <w:rFonts w:asciiTheme="minorHAnsi" w:hAnsiTheme="minorHAnsi" w:cstheme="minorHAnsi"/>
          <w:lang w:val="nl-NL"/>
        </w:rPr>
        <w:t>ij het aantonen van de naleving</w:t>
      </w:r>
    </w:p>
    <w:p w:rsidR="00EC7F60" w:rsidRPr="0025165D" w:rsidRDefault="00EC7F60" w:rsidP="00EC7F60">
      <w:pPr>
        <w:pStyle w:val="TemplateHeadline"/>
        <w:rPr>
          <w:rFonts w:asciiTheme="minorHAnsi" w:hAnsiTheme="minorHAnsi" w:cstheme="minorHAnsi"/>
          <w:color w:val="000000"/>
          <w:sz w:val="22"/>
          <w:szCs w:val="22"/>
          <w:lang w:val="nl-NL"/>
        </w:rPr>
      </w:pPr>
      <w:r w:rsidRPr="0025165D">
        <w:rPr>
          <w:rFonts w:asciiTheme="minorHAnsi" w:hAnsiTheme="minorHAnsi" w:cstheme="minorHAnsi"/>
          <w:color w:val="000000"/>
          <w:sz w:val="22"/>
          <w:szCs w:val="22"/>
          <w:lang w:val="nl-NL"/>
        </w:rPr>
        <w:t xml:space="preserve">Meerdere zaken kunnen naleving van Standaard 1320 aangeven, inclusief notulen van </w:t>
      </w:r>
      <w:r w:rsidRPr="0025165D">
        <w:rPr>
          <w:rFonts w:asciiTheme="minorHAnsi" w:hAnsiTheme="minorHAnsi" w:cstheme="minorHAnsi"/>
          <w:color w:val="000000"/>
          <w:sz w:val="22"/>
          <w:szCs w:val="22"/>
          <w:lang w:val="nl-NL"/>
        </w:rPr>
        <w:lastRenderedPageBreak/>
        <w:t>bestuursvergaderingen of notulen van andere vergaderingen voor het documenteren van de besprekingen met senior management en het bestuur met betrekking tot de reikwijdte en frequentie van zowel interne als externe evaluaties. Notulen van bestuursvergaderingen of andere vergaderingen dienen ook documentatie te verstrekken ter ondersteuning van de kwalificaties en onafhankelijkheid van de externe beoordelaar of het externe beoordelingsteam. Daarnaast kan inkoopdocumentatie het proces tonen dat verband houdt met eventuele biedingsvereisten voor het verkrijgen van diensten.</w:t>
      </w:r>
    </w:p>
    <w:p w:rsidR="0025165D" w:rsidRDefault="00EC7F60" w:rsidP="00EC7F60">
      <w:pPr>
        <w:pStyle w:val="TemplateBodyText"/>
        <w:rPr>
          <w:rFonts w:asciiTheme="minorHAnsi" w:hAnsiTheme="minorHAnsi" w:cstheme="minorHAnsi"/>
          <w:sz w:val="22"/>
          <w:szCs w:val="22"/>
          <w:lang w:val="nl-NL"/>
        </w:rPr>
      </w:pPr>
      <w:r w:rsidRPr="0025165D">
        <w:rPr>
          <w:rFonts w:asciiTheme="minorHAnsi" w:hAnsiTheme="minorHAnsi" w:cstheme="minorHAnsi"/>
          <w:sz w:val="22"/>
          <w:szCs w:val="22"/>
          <w:lang w:val="nl-NL"/>
        </w:rPr>
        <w:t>Andere documentatie kan naleving van de standaard aangeven, die specifiek gerelateerd is aan de communicatie van periodieke interne en externe evaluaties. Communicatie van interne audits kan een exemplaar van het externe evaluatierapport omvatten. Dit rapport geeft meestal de details die de conclusie van de beoordelaar ondersteunen, en kan een rating voor elke standaard bevatten. De externe beoordelaar kan een presentatie geven aan het senior management en het bestuur, of de CAE kan de QAIP-resultaten direct communiceren.</w:t>
      </w:r>
    </w:p>
    <w:p w:rsidR="0025165D" w:rsidRDefault="0025165D" w:rsidP="00EC7F60">
      <w:pPr>
        <w:pStyle w:val="TemplateBodyText"/>
        <w:rPr>
          <w:rFonts w:asciiTheme="minorHAnsi" w:hAnsiTheme="minorHAnsi" w:cstheme="minorHAnsi"/>
          <w:lang w:val="nl-NL"/>
        </w:rPr>
      </w:pPr>
    </w:p>
    <w:p w:rsidR="002F57B5" w:rsidRPr="0025165D" w:rsidRDefault="00685768" w:rsidP="00EC7F60">
      <w:pPr>
        <w:pStyle w:val="TemplateBodyText"/>
        <w:rPr>
          <w:rFonts w:asciiTheme="minorHAnsi" w:hAnsiTheme="minorHAnsi" w:cstheme="minorHAnsi"/>
          <w:lang w:val="nl-NL"/>
        </w:rPr>
      </w:pPr>
      <w:r w:rsidRPr="0025165D">
        <w:rPr>
          <w:rFonts w:asciiTheme="minorHAnsi" w:hAnsiTheme="minorHAnsi" w:cstheme="minorHAnsi"/>
          <w:noProof/>
          <w:lang w:val="nl-NL" w:eastAsia="nl-NL"/>
        </w:rPr>
        <w:lastRenderedPageBreak/>
        <mc:AlternateContent>
          <mc:Choice Requires="wps">
            <w:drawing>
              <wp:anchor distT="457200" distB="274320" distL="114300" distR="114300" simplePos="0" relativeHeight="251660288" behindDoc="0" locked="0" layoutInCell="1" allowOverlap="1">
                <wp:simplePos x="0" y="0"/>
                <wp:positionH relativeFrom="margin">
                  <wp:align>right</wp:align>
                </wp:positionH>
                <wp:positionV relativeFrom="page">
                  <wp:posOffset>4048125</wp:posOffset>
                </wp:positionV>
                <wp:extent cx="6400800" cy="5133975"/>
                <wp:effectExtent l="0" t="0" r="0" b="9525"/>
                <wp:wrapSquare wrapText="bothSides"/>
                <wp:docPr id="1" name="Text Box 1"/>
                <wp:cNvGraphicFramePr/>
                <a:graphic xmlns:a="http://schemas.openxmlformats.org/drawingml/2006/main">
                  <a:graphicData uri="http://schemas.microsoft.com/office/word/2010/wordprocessingShape">
                    <wps:wsp>
                      <wps:cNvSpPr txBox="1"/>
                      <wps:spPr>
                        <a:xfrm>
                          <a:off x="0" y="0"/>
                          <a:ext cx="6400800" cy="5133975"/>
                        </a:xfrm>
                        <a:prstGeom prst="rect">
                          <a:avLst/>
                        </a:prstGeom>
                        <a:solidFill>
                          <a:sysClr val="window" lastClr="FFFFFF">
                            <a:lumMod val="85000"/>
                          </a:sysClr>
                        </a:solid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30" type="#_x0000_t202" style="position:absolute;margin-left:452.8pt;margin-top:318.75pt;width:7in;height:404.25pt;z-index:251660288;visibility:visible;mso-wrap-style:square;mso-height-percent:0;mso-wrap-distance-left:9pt;mso-wrap-distance-top:36pt;mso-wrap-distance-right:9pt;mso-wrap-distance-bottom:21.6pt;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" fillcolor="#d9d9d9" stroked="f">
                <v:textbox inset="14.4pt,23.76pt,14.4pt,23.76pt">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v:textbox>
                <w10:wrap type="square" anchorx="margin" anchory="page"/>
              </v:shape>
            </w:pict>
          </mc:Fallback>
        </mc:AlternateContent>
      </w:r>
    </w:p>
    <w:sectPr w:rsidR="002F57B5" w:rsidRPr="0025165D" w:rsidSect="002F57B5">
      <w:headerReference w:type="even" r:id="rId8"/>
      <w:headerReference w:type="default" r:id="rId9"/>
      <w:footerReference w:type="even" r:id="rId10"/>
      <w:footerReference w:type="default" r:id="rId11"/>
      <w:headerReference w:type="first" r:id="rId12"/>
      <w:footerReference w:type="first" r:id="rId13"/>
      <w:pgSz w:w="12240" w:h="15840"/>
      <w:pgMar w:top="1800" w:right="1080" w:bottom="171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7B5" w:rsidRDefault="002F57B5">
      <w:r>
        <w:separator/>
      </w:r>
    </w:p>
  </w:endnote>
  <w:endnote w:type="continuationSeparator" w:id="0">
    <w:p w:rsidR="002F57B5" w:rsidRDefault="002F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MT">
    <w:altName w:val="Times New Roman"/>
    <w:charset w:val="00"/>
    <w:family w:val="auto"/>
    <w:pitch w:val="variable"/>
    <w:sig w:usb0="00000287" w:usb1="00000000" w:usb2="00000000" w:usb3="00000000" w:csb0="0000001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65D" w:rsidRDefault="0025165D">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6227FD" w:rsidRDefault="002F57B5" w:rsidP="002F57B5">
    <w:pPr>
      <w:framePr w:wrap="around" w:vAnchor="text" w:hAnchor="margin" w:xAlign="center" w:y="265"/>
      <w:rPr>
        <w:rStyle w:val="Paginanummer"/>
        <w:color w:val="535953"/>
        <w:sz w:val="16"/>
        <w:szCs w:val="16"/>
      </w:rPr>
    </w:pPr>
    <w:r w:rsidRPr="006227FD">
      <w:rPr>
        <w:rStyle w:val="Paginanummer"/>
        <w:color w:val="535953"/>
        <w:sz w:val="16"/>
        <w:szCs w:val="16"/>
      </w:rPr>
      <w:fldChar w:fldCharType="begin"/>
    </w:r>
    <w:r w:rsidRPr="006227FD">
      <w:rPr>
        <w:rStyle w:val="Paginanummer"/>
        <w:color w:val="535953"/>
        <w:sz w:val="16"/>
        <w:szCs w:val="16"/>
      </w:rPr>
      <w:instrText xml:space="preserve">PAGE  </w:instrText>
    </w:r>
    <w:r w:rsidRPr="006227FD">
      <w:rPr>
        <w:rStyle w:val="Paginanummer"/>
        <w:color w:val="535953"/>
        <w:sz w:val="16"/>
        <w:szCs w:val="16"/>
      </w:rPr>
      <w:fldChar w:fldCharType="separate"/>
    </w:r>
    <w:r w:rsidR="0025165D">
      <w:rPr>
        <w:rStyle w:val="Paginanummer"/>
        <w:noProof/>
        <w:color w:val="535953"/>
        <w:sz w:val="16"/>
        <w:szCs w:val="16"/>
      </w:rPr>
      <w:t>7</w:t>
    </w:r>
    <w:r w:rsidRPr="006227FD">
      <w:rPr>
        <w:rStyle w:val="Paginanummer"/>
        <w:color w:val="535953"/>
        <w:sz w:val="16"/>
        <w:szCs w:val="16"/>
      </w:rPr>
      <w:fldChar w:fldCharType="end"/>
    </w:r>
  </w:p>
  <w:p w:rsidR="002F57B5" w:rsidRDefault="002F57B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893833" w:rsidRDefault="002F57B5" w:rsidP="002F57B5">
    <w:pPr>
      <w:framePr w:wrap="around" w:vAnchor="text" w:hAnchor="page" w:x="6071" w:y="277"/>
      <w:rPr>
        <w:rStyle w:val="Paginanummer"/>
        <w:color w:val="535953"/>
        <w:sz w:val="16"/>
        <w:szCs w:val="16"/>
      </w:rPr>
    </w:pPr>
    <w:r>
      <w:rPr>
        <w:rStyle w:val="Paginanummer"/>
        <w:lang w:val="nl-NL"/>
      </w:rPr>
      <w:t xml:space="preserve"> </w:t>
    </w:r>
    <w:r w:rsidRPr="00893833">
      <w:rPr>
        <w:rStyle w:val="Paginanummer"/>
        <w:color w:val="535953"/>
        <w:sz w:val="16"/>
        <w:szCs w:val="16"/>
      </w:rPr>
      <w:fldChar w:fldCharType="begin"/>
    </w:r>
    <w:r w:rsidRPr="00893833">
      <w:rPr>
        <w:rStyle w:val="Paginanummer"/>
        <w:color w:val="535953"/>
        <w:sz w:val="16"/>
        <w:szCs w:val="16"/>
      </w:rPr>
      <w:instrText xml:space="preserve">PAGE  </w:instrText>
    </w:r>
    <w:r w:rsidRPr="00893833">
      <w:rPr>
        <w:rStyle w:val="Paginanummer"/>
        <w:color w:val="535953"/>
        <w:sz w:val="16"/>
        <w:szCs w:val="16"/>
      </w:rPr>
      <w:fldChar w:fldCharType="separate"/>
    </w:r>
    <w:r w:rsidR="0025165D">
      <w:rPr>
        <w:rStyle w:val="Paginanummer"/>
        <w:noProof/>
        <w:color w:val="535953"/>
        <w:sz w:val="16"/>
        <w:szCs w:val="16"/>
      </w:rPr>
      <w:t>1</w:t>
    </w:r>
    <w:r w:rsidRPr="00893833">
      <w:rPr>
        <w:rStyle w:val="Paginanummer"/>
        <w:color w:val="535953"/>
        <w:sz w:val="16"/>
        <w:szCs w:val="16"/>
      </w:rPr>
      <w:fldChar w:fldCharType="end"/>
    </w:r>
  </w:p>
  <w:p w:rsidR="002F57B5" w:rsidRDefault="002F57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7B5" w:rsidRDefault="002F57B5">
      <w:r>
        <w:separator/>
      </w:r>
    </w:p>
  </w:footnote>
  <w:footnote w:type="continuationSeparator" w:id="0">
    <w:p w:rsidR="002F57B5" w:rsidRDefault="002F5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sidP="002F57B5">
    <w:pPr>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2F57B5" w:rsidRDefault="002F57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B96E34">
    <w:bookmarkStart w:id="0" w:name="_GoBack"/>
    <w:bookmarkEnd w:id="0"/>
    <w:r>
      <w:rPr>
        <w:noProof/>
        <w:lang w:val="nl-NL" w:eastAsia="nl-NL"/>
      </w:rPr>
      <w:drawing>
        <wp:anchor distT="0" distB="0" distL="114300" distR="114300" simplePos="0" relativeHeight="251658240" behindDoc="1" locked="0" layoutInCell="1" allowOverlap="1">
          <wp:simplePos x="0" y="0"/>
          <wp:positionH relativeFrom="page">
            <wp:align>right</wp:align>
          </wp:positionH>
          <wp:positionV relativeFrom="page">
            <wp:posOffset>152400</wp:posOffset>
          </wp:positionV>
          <wp:extent cx="7772400" cy="10061448"/>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Page copy.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2F57B5">
      <w:rPr>
        <w:noProof/>
        <w:lang w:val="nl-NL" w:eastAsia="nl-NL"/>
      </w:rPr>
      <mc:AlternateContent>
        <mc:Choice Requires="wps">
          <w:drawing>
            <wp:anchor distT="0" distB="0" distL="114300" distR="114300" simplePos="0" relativeHeight="251659264" behindDoc="0" locked="0" layoutInCell="1" allowOverlap="1">
              <wp:simplePos x="0" y="0"/>
              <wp:positionH relativeFrom="margin">
                <wp:posOffset>228600</wp:posOffset>
              </wp:positionH>
              <wp:positionV relativeFrom="topMargin">
                <wp:posOffset>628650</wp:posOffset>
              </wp:positionV>
              <wp:extent cx="6343650" cy="533400"/>
              <wp:effectExtent l="0" t="0" r="0" b="0"/>
              <wp:wrapThrough wrapText="bothSides">
                <wp:wrapPolygon edited="0">
                  <wp:start x="130" y="0"/>
                  <wp:lineTo x="130" y="20829"/>
                  <wp:lineTo x="21405" y="20829"/>
                  <wp:lineTo x="21405" y="0"/>
                  <wp:lineTo x="130" y="0"/>
                </wp:wrapPolygon>
              </wp:wrapThrough>
              <wp:docPr id="3" name="Text Box 3"/>
              <wp:cNvGraphicFramePr/>
              <a:graphic xmlns:a="http://schemas.openxmlformats.org/drawingml/2006/main">
                <a:graphicData uri="http://schemas.microsoft.com/office/word/2010/wordprocessingShape">
                  <wps:wsp>
                    <wps:cNvSpPr txBox="1"/>
                    <wps:spPr>
                      <a:xfrm>
                        <a:off x="0" y="0"/>
                        <a:ext cx="6343650" cy="533400"/>
                      </a:xfrm>
                      <a:prstGeom prst="rect">
                        <a:avLst/>
                      </a:prstGeom>
                      <a:noFill/>
                      <a:ln>
                        <a:noFill/>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rsidR="002F57B5" w:rsidRPr="006227FD" w:rsidRDefault="00AA0CBD">
                          <w:pPr>
                            <w:rPr>
                              <w:rFonts w:ascii="Arial" w:hAnsi="Arial" w:cs="Arial"/>
                              <w:color w:val="002239" w:themeColor="text2" w:themeShade="80"/>
                            </w:rPr>
                          </w:pPr>
                          <w:r>
                            <w:rPr>
                              <w:rFonts w:ascii="Arial" w:hAnsi="Arial" w:cs="Arial"/>
                              <w:color w:val="0F1F4B"/>
                              <w:lang w:val="nl-NL"/>
                            </w:rPr>
                            <w:t xml:space="preserve">Implementatierichtlijn </w:t>
                          </w:r>
                          <w:r w:rsidR="0025165D">
                            <w:rPr>
                              <w:rFonts w:ascii="Arial" w:hAnsi="Arial" w:cs="Arial"/>
                              <w:color w:val="0F1F4B"/>
                              <w:lang w:val="nl-NL"/>
                            </w:rPr>
                            <w:t>1320 -</w:t>
                          </w:r>
                          <w:r w:rsidR="00B96E34" w:rsidRPr="00B96E34">
                            <w:rPr>
                              <w:rFonts w:ascii="Arial" w:hAnsi="Arial" w:cs="Arial"/>
                              <w:color w:val="0F1F4B"/>
                              <w:lang w:val="nl-NL"/>
                            </w:rPr>
                            <w:t xml:space="preserve"> Rapportering over het programma voor kwaliteitsbewaking en -verbetering</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31" type="#_x0000_t202" style="position:absolute;margin-left:18pt;margin-top:49.5pt;width:499.5pt;height:4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" filled="f" stroked="f">
              <v:textbox>
                <w:txbxContent>
                  <w:p w:rsidR="002F57B5" w:rsidRPr="006227FD" w:rsidRDefault="00AA0CBD">
                    <w:pPr>
                      <w:rPr>
                        <w:rFonts w:ascii="Arial" w:hAnsi="Arial" w:cs="Arial"/>
                        <w:color w:val="002239" w:themeColor="text2" w:themeShade="80"/>
                      </w:rPr>
                    </w:pPr>
                    <w:r>
                      <w:rPr>
                        <w:rFonts w:ascii="Arial" w:hAnsi="Arial" w:cs="Arial"/>
                        <w:color w:val="0F1F4B"/>
                        <w:lang w:val="nl-NL"/>
                      </w:rPr>
                      <w:t xml:space="preserve">Implementatierichtlijn </w:t>
                    </w:r>
                    <w:r w:rsidR="0025165D">
                      <w:rPr>
                        <w:rFonts w:ascii="Arial" w:hAnsi="Arial" w:cs="Arial"/>
                        <w:color w:val="0F1F4B"/>
                        <w:lang w:val="nl-NL"/>
                      </w:rPr>
                      <w:t>1320 -</w:t>
                    </w:r>
                    <w:r w:rsidR="00B96E34" w:rsidRPr="00B96E34">
                      <w:rPr>
                        <w:rFonts w:ascii="Arial" w:hAnsi="Arial" w:cs="Arial"/>
                        <w:color w:val="0F1F4B"/>
                        <w:lang w:val="nl-NL"/>
                      </w:rPr>
                      <w:t xml:space="preserve"> Rapportering over het programma voor kwaliteitsbewaking en -verbetering</w:t>
                    </w:r>
                  </w:p>
                </w:txbxContent>
              </v:textbox>
              <w10:wrap type="through"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w:drawing>
        <wp:anchor distT="0" distB="0" distL="114300" distR="114300" simplePos="0" relativeHeight="251661312" behindDoc="1" locked="0" layoutInCell="1" allowOverlap="1">
          <wp:simplePos x="0" y="0"/>
          <wp:positionH relativeFrom="page">
            <wp:align>right</wp:align>
          </wp:positionH>
          <wp:positionV relativeFrom="page">
            <wp:align>top</wp:align>
          </wp:positionV>
          <wp:extent cx="7772400" cy="10061448"/>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age.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A6306"/>
    <w:multiLevelType w:val="hybridMultilevel"/>
    <w:tmpl w:val="36D85A0C"/>
    <w:lvl w:ilvl="0" w:tplc="8526990C">
      <w:start w:val="1"/>
      <w:numFmt w:val="bullet"/>
      <w:lvlText w:val=""/>
      <w:lvlJc w:val="left"/>
      <w:pPr>
        <w:ind w:left="990" w:hanging="360"/>
      </w:pPr>
      <w:rPr>
        <w:rFonts w:ascii="Symbol" w:hAnsi="Symbol" w:hint="default"/>
        <w:color w:val="D32E30" w:themeColor="accent2"/>
      </w:rPr>
    </w:lvl>
    <w:lvl w:ilvl="1" w:tplc="D9E6D0E4" w:tentative="1">
      <w:start w:val="1"/>
      <w:numFmt w:val="bullet"/>
      <w:lvlText w:val="o"/>
      <w:lvlJc w:val="left"/>
      <w:pPr>
        <w:ind w:left="1710" w:hanging="360"/>
      </w:pPr>
      <w:rPr>
        <w:rFonts w:ascii="Courier New" w:hAnsi="Courier New" w:hint="default"/>
      </w:rPr>
    </w:lvl>
    <w:lvl w:ilvl="2" w:tplc="6CBA750C" w:tentative="1">
      <w:start w:val="1"/>
      <w:numFmt w:val="bullet"/>
      <w:lvlText w:val=""/>
      <w:lvlJc w:val="left"/>
      <w:pPr>
        <w:ind w:left="2430" w:hanging="360"/>
      </w:pPr>
      <w:rPr>
        <w:rFonts w:ascii="Wingdings" w:hAnsi="Wingdings" w:hint="default"/>
      </w:rPr>
    </w:lvl>
    <w:lvl w:ilvl="3" w:tplc="CBF89618" w:tentative="1">
      <w:start w:val="1"/>
      <w:numFmt w:val="bullet"/>
      <w:lvlText w:val=""/>
      <w:lvlJc w:val="left"/>
      <w:pPr>
        <w:ind w:left="3150" w:hanging="360"/>
      </w:pPr>
      <w:rPr>
        <w:rFonts w:ascii="Symbol" w:hAnsi="Symbol" w:hint="default"/>
      </w:rPr>
    </w:lvl>
    <w:lvl w:ilvl="4" w:tplc="97AABB4C" w:tentative="1">
      <w:start w:val="1"/>
      <w:numFmt w:val="bullet"/>
      <w:lvlText w:val="o"/>
      <w:lvlJc w:val="left"/>
      <w:pPr>
        <w:ind w:left="3870" w:hanging="360"/>
      </w:pPr>
      <w:rPr>
        <w:rFonts w:ascii="Courier New" w:hAnsi="Courier New" w:hint="default"/>
      </w:rPr>
    </w:lvl>
    <w:lvl w:ilvl="5" w:tplc="E7AEB53A" w:tentative="1">
      <w:start w:val="1"/>
      <w:numFmt w:val="bullet"/>
      <w:lvlText w:val=""/>
      <w:lvlJc w:val="left"/>
      <w:pPr>
        <w:ind w:left="4590" w:hanging="360"/>
      </w:pPr>
      <w:rPr>
        <w:rFonts w:ascii="Wingdings" w:hAnsi="Wingdings" w:hint="default"/>
      </w:rPr>
    </w:lvl>
    <w:lvl w:ilvl="6" w:tplc="F5F09510" w:tentative="1">
      <w:start w:val="1"/>
      <w:numFmt w:val="bullet"/>
      <w:lvlText w:val=""/>
      <w:lvlJc w:val="left"/>
      <w:pPr>
        <w:ind w:left="5310" w:hanging="360"/>
      </w:pPr>
      <w:rPr>
        <w:rFonts w:ascii="Symbol" w:hAnsi="Symbol" w:hint="default"/>
      </w:rPr>
    </w:lvl>
    <w:lvl w:ilvl="7" w:tplc="0922AAD6" w:tentative="1">
      <w:start w:val="1"/>
      <w:numFmt w:val="bullet"/>
      <w:lvlText w:val="o"/>
      <w:lvlJc w:val="left"/>
      <w:pPr>
        <w:ind w:left="6030" w:hanging="360"/>
      </w:pPr>
      <w:rPr>
        <w:rFonts w:ascii="Courier New" w:hAnsi="Courier New" w:hint="default"/>
      </w:rPr>
    </w:lvl>
    <w:lvl w:ilvl="8" w:tplc="6BC4CB10" w:tentative="1">
      <w:start w:val="1"/>
      <w:numFmt w:val="bullet"/>
      <w:lvlText w:val=""/>
      <w:lvlJc w:val="left"/>
      <w:pPr>
        <w:ind w:left="6750" w:hanging="360"/>
      </w:pPr>
      <w:rPr>
        <w:rFonts w:ascii="Wingdings" w:hAnsi="Wingdings" w:hint="default"/>
      </w:rPr>
    </w:lvl>
  </w:abstractNum>
  <w:abstractNum w:abstractNumId="1" w15:restartNumberingAfterBreak="0">
    <w:nsid w:val="25F42B3A"/>
    <w:multiLevelType w:val="hybridMultilevel"/>
    <w:tmpl w:val="E31EAF06"/>
    <w:lvl w:ilvl="0" w:tplc="055298DA">
      <w:start w:val="1"/>
      <w:numFmt w:val="bullet"/>
      <w:pStyle w:val="RedBullets"/>
      <w:lvlText w:val=""/>
      <w:lvlJc w:val="left"/>
      <w:pPr>
        <w:ind w:left="994" w:hanging="360"/>
      </w:pPr>
      <w:rPr>
        <w:rFonts w:ascii="Symbol" w:hAnsi="Symbol" w:hint="default"/>
        <w:color w:val="D32E30" w:themeColor="accent2"/>
      </w:rPr>
    </w:lvl>
    <w:lvl w:ilvl="1" w:tplc="621E7BA2">
      <w:start w:val="1"/>
      <w:numFmt w:val="bullet"/>
      <w:lvlText w:val="o"/>
      <w:lvlJc w:val="left"/>
      <w:pPr>
        <w:ind w:left="1714" w:hanging="360"/>
      </w:pPr>
      <w:rPr>
        <w:rFonts w:ascii="Courier New" w:hAnsi="Courier New" w:hint="default"/>
      </w:rPr>
    </w:lvl>
    <w:lvl w:ilvl="2" w:tplc="7E22767C" w:tentative="1">
      <w:start w:val="1"/>
      <w:numFmt w:val="bullet"/>
      <w:lvlText w:val=""/>
      <w:lvlJc w:val="left"/>
      <w:pPr>
        <w:ind w:left="2434" w:hanging="360"/>
      </w:pPr>
      <w:rPr>
        <w:rFonts w:ascii="Wingdings" w:hAnsi="Wingdings" w:hint="default"/>
      </w:rPr>
    </w:lvl>
    <w:lvl w:ilvl="3" w:tplc="EF2CF742" w:tentative="1">
      <w:start w:val="1"/>
      <w:numFmt w:val="bullet"/>
      <w:lvlText w:val=""/>
      <w:lvlJc w:val="left"/>
      <w:pPr>
        <w:ind w:left="3154" w:hanging="360"/>
      </w:pPr>
      <w:rPr>
        <w:rFonts w:ascii="Symbol" w:hAnsi="Symbol" w:hint="default"/>
      </w:rPr>
    </w:lvl>
    <w:lvl w:ilvl="4" w:tplc="4E28C6E8" w:tentative="1">
      <w:start w:val="1"/>
      <w:numFmt w:val="bullet"/>
      <w:lvlText w:val="o"/>
      <w:lvlJc w:val="left"/>
      <w:pPr>
        <w:ind w:left="3874" w:hanging="360"/>
      </w:pPr>
      <w:rPr>
        <w:rFonts w:ascii="Courier New" w:hAnsi="Courier New" w:hint="default"/>
      </w:rPr>
    </w:lvl>
    <w:lvl w:ilvl="5" w:tplc="5DE48358" w:tentative="1">
      <w:start w:val="1"/>
      <w:numFmt w:val="bullet"/>
      <w:lvlText w:val=""/>
      <w:lvlJc w:val="left"/>
      <w:pPr>
        <w:ind w:left="4594" w:hanging="360"/>
      </w:pPr>
      <w:rPr>
        <w:rFonts w:ascii="Wingdings" w:hAnsi="Wingdings" w:hint="default"/>
      </w:rPr>
    </w:lvl>
    <w:lvl w:ilvl="6" w:tplc="38FA1802" w:tentative="1">
      <w:start w:val="1"/>
      <w:numFmt w:val="bullet"/>
      <w:lvlText w:val=""/>
      <w:lvlJc w:val="left"/>
      <w:pPr>
        <w:ind w:left="5314" w:hanging="360"/>
      </w:pPr>
      <w:rPr>
        <w:rFonts w:ascii="Symbol" w:hAnsi="Symbol" w:hint="default"/>
      </w:rPr>
    </w:lvl>
    <w:lvl w:ilvl="7" w:tplc="7E0E749E" w:tentative="1">
      <w:start w:val="1"/>
      <w:numFmt w:val="bullet"/>
      <w:lvlText w:val="o"/>
      <w:lvlJc w:val="left"/>
      <w:pPr>
        <w:ind w:left="6034" w:hanging="360"/>
      </w:pPr>
      <w:rPr>
        <w:rFonts w:ascii="Courier New" w:hAnsi="Courier New" w:hint="default"/>
      </w:rPr>
    </w:lvl>
    <w:lvl w:ilvl="8" w:tplc="39783008" w:tentative="1">
      <w:start w:val="1"/>
      <w:numFmt w:val="bullet"/>
      <w:lvlText w:val=""/>
      <w:lvlJc w:val="left"/>
      <w:pPr>
        <w:ind w:left="6754" w:hanging="360"/>
      </w:pPr>
      <w:rPr>
        <w:rFonts w:ascii="Wingdings" w:hAnsi="Wingdings" w:hint="default"/>
      </w:rPr>
    </w:lvl>
  </w:abstractNum>
  <w:abstractNum w:abstractNumId="2" w15:restartNumberingAfterBreak="0">
    <w:nsid w:val="327E59D3"/>
    <w:multiLevelType w:val="hybridMultilevel"/>
    <w:tmpl w:val="97D2F3F4"/>
    <w:lvl w:ilvl="0" w:tplc="6C72D0A4">
      <w:start w:val="1"/>
      <w:numFmt w:val="bullet"/>
      <w:lvlText w:val=""/>
      <w:lvlJc w:val="left"/>
      <w:pPr>
        <w:ind w:left="720" w:hanging="360"/>
      </w:pPr>
      <w:rPr>
        <w:rFonts w:ascii="Symbol" w:hAnsi="Symbol" w:hint="default"/>
        <w:color w:val="D32E30" w:themeColor="accent2"/>
      </w:rPr>
    </w:lvl>
    <w:lvl w:ilvl="1" w:tplc="D6ECB022" w:tentative="1">
      <w:start w:val="1"/>
      <w:numFmt w:val="bullet"/>
      <w:lvlText w:val="o"/>
      <w:lvlJc w:val="left"/>
      <w:pPr>
        <w:ind w:left="1170" w:hanging="360"/>
      </w:pPr>
      <w:rPr>
        <w:rFonts w:ascii="Courier New" w:hAnsi="Courier New" w:hint="default"/>
      </w:rPr>
    </w:lvl>
    <w:lvl w:ilvl="2" w:tplc="AC966F80" w:tentative="1">
      <w:start w:val="1"/>
      <w:numFmt w:val="bullet"/>
      <w:lvlText w:val=""/>
      <w:lvlJc w:val="left"/>
      <w:pPr>
        <w:ind w:left="1890" w:hanging="360"/>
      </w:pPr>
      <w:rPr>
        <w:rFonts w:ascii="Wingdings" w:hAnsi="Wingdings" w:hint="default"/>
      </w:rPr>
    </w:lvl>
    <w:lvl w:ilvl="3" w:tplc="F1446828" w:tentative="1">
      <w:start w:val="1"/>
      <w:numFmt w:val="bullet"/>
      <w:lvlText w:val=""/>
      <w:lvlJc w:val="left"/>
      <w:pPr>
        <w:ind w:left="2610" w:hanging="360"/>
      </w:pPr>
      <w:rPr>
        <w:rFonts w:ascii="Symbol" w:hAnsi="Symbol" w:hint="default"/>
      </w:rPr>
    </w:lvl>
    <w:lvl w:ilvl="4" w:tplc="56B25782" w:tentative="1">
      <w:start w:val="1"/>
      <w:numFmt w:val="bullet"/>
      <w:lvlText w:val="o"/>
      <w:lvlJc w:val="left"/>
      <w:pPr>
        <w:ind w:left="3330" w:hanging="360"/>
      </w:pPr>
      <w:rPr>
        <w:rFonts w:ascii="Courier New" w:hAnsi="Courier New" w:hint="default"/>
      </w:rPr>
    </w:lvl>
    <w:lvl w:ilvl="5" w:tplc="7AEC16F8" w:tentative="1">
      <w:start w:val="1"/>
      <w:numFmt w:val="bullet"/>
      <w:lvlText w:val=""/>
      <w:lvlJc w:val="left"/>
      <w:pPr>
        <w:ind w:left="4050" w:hanging="360"/>
      </w:pPr>
      <w:rPr>
        <w:rFonts w:ascii="Wingdings" w:hAnsi="Wingdings" w:hint="default"/>
      </w:rPr>
    </w:lvl>
    <w:lvl w:ilvl="6" w:tplc="A4E2FD96" w:tentative="1">
      <w:start w:val="1"/>
      <w:numFmt w:val="bullet"/>
      <w:lvlText w:val=""/>
      <w:lvlJc w:val="left"/>
      <w:pPr>
        <w:ind w:left="4770" w:hanging="360"/>
      </w:pPr>
      <w:rPr>
        <w:rFonts w:ascii="Symbol" w:hAnsi="Symbol" w:hint="default"/>
      </w:rPr>
    </w:lvl>
    <w:lvl w:ilvl="7" w:tplc="2A50A19E" w:tentative="1">
      <w:start w:val="1"/>
      <w:numFmt w:val="bullet"/>
      <w:lvlText w:val="o"/>
      <w:lvlJc w:val="left"/>
      <w:pPr>
        <w:ind w:left="5490" w:hanging="360"/>
      </w:pPr>
      <w:rPr>
        <w:rFonts w:ascii="Courier New" w:hAnsi="Courier New" w:hint="default"/>
      </w:rPr>
    </w:lvl>
    <w:lvl w:ilvl="8" w:tplc="AF32A1B8" w:tentative="1">
      <w:start w:val="1"/>
      <w:numFmt w:val="bullet"/>
      <w:lvlText w:val=""/>
      <w:lvlJc w:val="left"/>
      <w:pPr>
        <w:ind w:left="621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ShowStaticGuides" w:val="1"/>
  </w:docVars>
  <w:rsids>
    <w:rsidRoot w:val="00685768"/>
    <w:rsid w:val="000C60D4"/>
    <w:rsid w:val="001B11A8"/>
    <w:rsid w:val="0025165D"/>
    <w:rsid w:val="00284E07"/>
    <w:rsid w:val="002C0B84"/>
    <w:rsid w:val="002F57B5"/>
    <w:rsid w:val="00304B9F"/>
    <w:rsid w:val="00443735"/>
    <w:rsid w:val="004B2C19"/>
    <w:rsid w:val="005A0CAD"/>
    <w:rsid w:val="005C501B"/>
    <w:rsid w:val="00665553"/>
    <w:rsid w:val="00685768"/>
    <w:rsid w:val="00802826"/>
    <w:rsid w:val="0081412E"/>
    <w:rsid w:val="008F2569"/>
    <w:rsid w:val="00946CF4"/>
    <w:rsid w:val="0097657B"/>
    <w:rsid w:val="00A3340D"/>
    <w:rsid w:val="00A71BA5"/>
    <w:rsid w:val="00A96503"/>
    <w:rsid w:val="00AA0CBD"/>
    <w:rsid w:val="00B24B48"/>
    <w:rsid w:val="00B96E34"/>
    <w:rsid w:val="00BC3D33"/>
    <w:rsid w:val="00BF644C"/>
    <w:rsid w:val="00C6368B"/>
    <w:rsid w:val="00D65AB4"/>
    <w:rsid w:val="00DF51BE"/>
    <w:rsid w:val="00E90A08"/>
    <w:rsid w:val="00EC7F60"/>
    <w:rsid w:val="00FF046F"/>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1C9E951A-2DB5-4445-AEA3-CB4D3666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10A1B"/>
  </w:style>
  <w:style w:type="paragraph" w:styleId="Kop1">
    <w:name w:val="heading 1"/>
    <w:basedOn w:val="Standaard"/>
    <w:next w:val="Standaard"/>
    <w:link w:val="Kop1Char"/>
    <w:uiPriority w:val="9"/>
    <w:qFormat/>
    <w:rsid w:val="006227FD"/>
    <w:pPr>
      <w:keepNext/>
      <w:keepLines/>
      <w:spacing w:before="480"/>
      <w:outlineLvl w:val="0"/>
    </w:pPr>
    <w:rPr>
      <w:rFonts w:asciiTheme="majorHAnsi" w:eastAsiaTheme="majorEastAsia" w:hAnsiTheme="majorHAnsi" w:cstheme="majorBidi"/>
      <w:b/>
      <w:bCs/>
      <w:color w:val="00658D" w:themeColor="accent1" w:themeShade="B5"/>
      <w:sz w:val="32"/>
      <w:szCs w:val="32"/>
    </w:rPr>
  </w:style>
  <w:style w:type="paragraph" w:styleId="Kop2">
    <w:name w:val="heading 2"/>
    <w:basedOn w:val="Standaard"/>
    <w:next w:val="Standaard"/>
    <w:link w:val="Kop2Char"/>
    <w:uiPriority w:val="9"/>
    <w:unhideWhenUsed/>
    <w:qFormat/>
    <w:rsid w:val="00B24B48"/>
    <w:pPr>
      <w:keepNext/>
      <w:keepLines/>
      <w:spacing w:before="40"/>
      <w:outlineLvl w:val="1"/>
    </w:pPr>
    <w:rPr>
      <w:rFonts w:asciiTheme="majorHAnsi" w:eastAsiaTheme="majorEastAsia" w:hAnsiTheme="majorHAnsi" w:cstheme="majorBidi"/>
      <w:color w:val="006A95" w:themeColor="accent1" w:themeShade="BF"/>
      <w:sz w:val="26"/>
      <w:szCs w:val="26"/>
    </w:rPr>
  </w:style>
  <w:style w:type="paragraph" w:styleId="Kop3">
    <w:name w:val="heading 3"/>
    <w:basedOn w:val="Standaard"/>
    <w:next w:val="Standaard"/>
    <w:link w:val="Kop3Char"/>
    <w:uiPriority w:val="9"/>
    <w:unhideWhenUsed/>
    <w:qFormat/>
    <w:rsid w:val="00946CF4"/>
    <w:pPr>
      <w:keepNext/>
      <w:keepLines/>
      <w:spacing w:before="40"/>
      <w:outlineLvl w:val="2"/>
    </w:pPr>
    <w:rPr>
      <w:rFonts w:asciiTheme="majorHAnsi" w:eastAsiaTheme="majorEastAsia" w:hAnsiTheme="majorHAnsi" w:cstheme="majorBidi"/>
      <w:color w:val="004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7FD"/>
    <w:rPr>
      <w:rFonts w:asciiTheme="majorHAnsi" w:eastAsiaTheme="majorEastAsia" w:hAnsiTheme="majorHAnsi" w:cstheme="majorBidi"/>
      <w:b/>
      <w:bCs/>
      <w:color w:val="00658D" w:themeColor="accent1" w:themeShade="B5"/>
      <w:sz w:val="32"/>
      <w:szCs w:val="32"/>
    </w:rPr>
  </w:style>
  <w:style w:type="character" w:styleId="Paginanummer">
    <w:name w:val="page number"/>
    <w:basedOn w:val="Standaardalinea-lettertype"/>
    <w:uiPriority w:val="99"/>
    <w:semiHidden/>
    <w:unhideWhenUsed/>
    <w:rsid w:val="006227FD"/>
  </w:style>
  <w:style w:type="paragraph" w:customStyle="1" w:styleId="TemplateHeadline">
    <w:name w:val="Template Headline"/>
    <w:basedOn w:val="Plattetekst"/>
    <w:uiPriority w:val="99"/>
    <w:rsid w:val="00893833"/>
    <w:pPr>
      <w:widowControl w:val="0"/>
      <w:autoSpaceDE w:val="0"/>
      <w:autoSpaceDN w:val="0"/>
      <w:adjustRightInd w:val="0"/>
      <w:spacing w:after="180" w:line="360" w:lineRule="atLeast"/>
      <w:textAlignment w:val="center"/>
    </w:pPr>
    <w:rPr>
      <w:rFonts w:ascii="ArialMT" w:hAnsi="ArialMT" w:cs="ArialMT"/>
      <w:color w:val="000065"/>
      <w:sz w:val="36"/>
      <w:szCs w:val="36"/>
    </w:rPr>
  </w:style>
  <w:style w:type="paragraph" w:styleId="Plattetekst">
    <w:name w:val="Body Text"/>
    <w:basedOn w:val="Standaard"/>
    <w:link w:val="PlattetekstChar"/>
    <w:uiPriority w:val="99"/>
    <w:semiHidden/>
    <w:unhideWhenUsed/>
    <w:rsid w:val="00893833"/>
    <w:pPr>
      <w:spacing w:after="120"/>
    </w:pPr>
  </w:style>
  <w:style w:type="character" w:customStyle="1" w:styleId="PlattetekstChar">
    <w:name w:val="Platte tekst Char"/>
    <w:basedOn w:val="Standaardalinea-lettertype"/>
    <w:link w:val="Plattetekst"/>
    <w:uiPriority w:val="99"/>
    <w:semiHidden/>
    <w:rsid w:val="00893833"/>
  </w:style>
  <w:style w:type="paragraph" w:customStyle="1" w:styleId="TemplateBodyText">
    <w:name w:val="Template Body Text"/>
    <w:basedOn w:val="Plattetekst"/>
    <w:link w:val="TemplateBodyTextChar"/>
    <w:uiPriority w:val="99"/>
    <w:rsid w:val="00893833"/>
    <w:pPr>
      <w:widowControl w:val="0"/>
      <w:suppressAutoHyphens/>
      <w:autoSpaceDE w:val="0"/>
      <w:autoSpaceDN w:val="0"/>
      <w:adjustRightInd w:val="0"/>
      <w:spacing w:after="180" w:line="400" w:lineRule="atLeast"/>
      <w:textAlignment w:val="center"/>
    </w:pPr>
    <w:rPr>
      <w:rFonts w:ascii="ArialMT" w:hAnsi="ArialMT" w:cs="ArialMT"/>
      <w:color w:val="000000"/>
    </w:rPr>
  </w:style>
  <w:style w:type="paragraph" w:customStyle="1" w:styleId="TemplateBullets">
    <w:name w:val="Template Bullets"/>
    <w:basedOn w:val="TemplateBodyText"/>
    <w:uiPriority w:val="99"/>
    <w:rsid w:val="00B01FFE"/>
    <w:pPr>
      <w:spacing w:after="0"/>
      <w:ind w:left="634" w:hanging="360"/>
    </w:pPr>
  </w:style>
  <w:style w:type="paragraph" w:customStyle="1" w:styleId="TemplateBullets-Sub">
    <w:name w:val="Template Bullets-Sub"/>
    <w:basedOn w:val="TemplateBodyText"/>
    <w:uiPriority w:val="99"/>
    <w:rsid w:val="00893833"/>
    <w:pPr>
      <w:spacing w:after="0"/>
      <w:ind w:left="990" w:hanging="360"/>
    </w:pPr>
  </w:style>
  <w:style w:type="paragraph" w:customStyle="1" w:styleId="RedBullets">
    <w:name w:val="Red Bullets"/>
    <w:basedOn w:val="TemplateBullets"/>
    <w:qFormat/>
    <w:rsid w:val="00B01FFE"/>
    <w:pPr>
      <w:numPr>
        <w:numId w:val="3"/>
      </w:numPr>
    </w:pPr>
  </w:style>
  <w:style w:type="paragraph" w:customStyle="1" w:styleId="Headline">
    <w:name w:val="Headline"/>
    <w:basedOn w:val="Standaard"/>
    <w:uiPriority w:val="99"/>
    <w:rsid w:val="00B01FFE"/>
    <w:pPr>
      <w:widowControl w:val="0"/>
      <w:autoSpaceDE w:val="0"/>
      <w:autoSpaceDN w:val="0"/>
      <w:adjustRightInd w:val="0"/>
      <w:spacing w:line="800" w:lineRule="atLeast"/>
      <w:textAlignment w:val="center"/>
    </w:pPr>
    <w:rPr>
      <w:rFonts w:ascii="ArialMT" w:hAnsi="ArialMT" w:cs="ArialMT"/>
      <w:color w:val="000065"/>
      <w:sz w:val="70"/>
      <w:szCs w:val="70"/>
    </w:rPr>
  </w:style>
  <w:style w:type="paragraph" w:styleId="Voettekst">
    <w:name w:val="footer"/>
    <w:basedOn w:val="Standaard"/>
    <w:link w:val="VoettekstChar"/>
    <w:uiPriority w:val="99"/>
    <w:unhideWhenUsed/>
    <w:rsid w:val="00112A54"/>
    <w:pPr>
      <w:tabs>
        <w:tab w:val="center" w:pos="4320"/>
        <w:tab w:val="right" w:pos="8640"/>
      </w:tabs>
    </w:pPr>
  </w:style>
  <w:style w:type="character" w:customStyle="1" w:styleId="VoettekstChar">
    <w:name w:val="Voettekst Char"/>
    <w:basedOn w:val="Standaardalinea-lettertype"/>
    <w:link w:val="Voettekst"/>
    <w:uiPriority w:val="99"/>
    <w:rsid w:val="00112A54"/>
  </w:style>
  <w:style w:type="paragraph" w:styleId="Normaalweb">
    <w:name w:val="Normal (Web)"/>
    <w:basedOn w:val="Standaard"/>
    <w:uiPriority w:val="99"/>
    <w:semiHidden/>
    <w:unhideWhenUsed/>
    <w:rsid w:val="00AF61BE"/>
    <w:pPr>
      <w:spacing w:before="100" w:beforeAutospacing="1" w:after="100" w:afterAutospacing="1"/>
    </w:pPr>
    <w:rPr>
      <w:rFonts w:ascii="Times" w:hAnsi="Times" w:cs="Times New Roman"/>
      <w:sz w:val="20"/>
      <w:szCs w:val="20"/>
    </w:rPr>
  </w:style>
  <w:style w:type="paragraph" w:customStyle="1" w:styleId="BoilerplateHeadline">
    <w:name w:val="Boilerplate Headline"/>
    <w:basedOn w:val="Standaard"/>
    <w:uiPriority w:val="99"/>
    <w:rsid w:val="00AF61BE"/>
    <w:pPr>
      <w:widowControl w:val="0"/>
      <w:autoSpaceDE w:val="0"/>
      <w:autoSpaceDN w:val="0"/>
      <w:adjustRightInd w:val="0"/>
      <w:spacing w:line="360" w:lineRule="atLeast"/>
      <w:textAlignment w:val="center"/>
    </w:pPr>
    <w:rPr>
      <w:rFonts w:ascii="ArialMT" w:hAnsi="ArialMT" w:cs="ArialMT"/>
      <w:color w:val="3B95D9"/>
      <w:sz w:val="30"/>
      <w:szCs w:val="30"/>
    </w:rPr>
  </w:style>
  <w:style w:type="paragraph" w:customStyle="1" w:styleId="BoilerplateBodyText">
    <w:name w:val="Boilerplate Body Text"/>
    <w:basedOn w:val="Standaard"/>
    <w:uiPriority w:val="99"/>
    <w:rsid w:val="00AF61BE"/>
    <w:pPr>
      <w:widowControl w:val="0"/>
      <w:suppressAutoHyphens/>
      <w:autoSpaceDE w:val="0"/>
      <w:autoSpaceDN w:val="0"/>
      <w:adjustRightInd w:val="0"/>
      <w:spacing w:after="180" w:line="288" w:lineRule="auto"/>
      <w:textAlignment w:val="center"/>
    </w:pPr>
    <w:rPr>
      <w:rFonts w:ascii="ArialMT" w:hAnsi="ArialMT" w:cs="ArialMT"/>
      <w:color w:val="000000"/>
      <w:sz w:val="18"/>
      <w:szCs w:val="18"/>
    </w:rPr>
  </w:style>
  <w:style w:type="paragraph" w:styleId="Ballontekst">
    <w:name w:val="Balloon Text"/>
    <w:basedOn w:val="Standaard"/>
    <w:link w:val="BallontekstChar"/>
    <w:uiPriority w:val="99"/>
    <w:semiHidden/>
    <w:unhideWhenUsed/>
    <w:rsid w:val="00FB2F1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B2F16"/>
    <w:rPr>
      <w:rFonts w:ascii="Segoe UI" w:hAnsi="Segoe UI" w:cs="Segoe UI"/>
      <w:sz w:val="18"/>
      <w:szCs w:val="18"/>
    </w:rPr>
  </w:style>
  <w:style w:type="character" w:styleId="Verwijzingopmerking">
    <w:name w:val="annotation reference"/>
    <w:basedOn w:val="Standaardalinea-lettertype"/>
    <w:uiPriority w:val="99"/>
    <w:semiHidden/>
    <w:unhideWhenUsed/>
    <w:rsid w:val="004350A2"/>
    <w:rPr>
      <w:sz w:val="16"/>
      <w:szCs w:val="16"/>
    </w:rPr>
  </w:style>
  <w:style w:type="paragraph" w:styleId="Tekstopmerking">
    <w:name w:val="annotation text"/>
    <w:basedOn w:val="Standaard"/>
    <w:link w:val="TekstopmerkingChar"/>
    <w:uiPriority w:val="99"/>
    <w:semiHidden/>
    <w:unhideWhenUsed/>
    <w:rsid w:val="004350A2"/>
    <w:rPr>
      <w:sz w:val="20"/>
      <w:szCs w:val="20"/>
    </w:rPr>
  </w:style>
  <w:style w:type="character" w:customStyle="1" w:styleId="TekstopmerkingChar">
    <w:name w:val="Tekst opmerking Char"/>
    <w:basedOn w:val="Standaardalinea-lettertype"/>
    <w:link w:val="Tekstopmerking"/>
    <w:uiPriority w:val="99"/>
    <w:semiHidden/>
    <w:rsid w:val="004350A2"/>
    <w:rPr>
      <w:sz w:val="20"/>
      <w:szCs w:val="20"/>
    </w:rPr>
  </w:style>
  <w:style w:type="paragraph" w:styleId="Onderwerpvanopmerking">
    <w:name w:val="annotation subject"/>
    <w:basedOn w:val="Tekstopmerking"/>
    <w:next w:val="Tekstopmerking"/>
    <w:link w:val="OnderwerpvanopmerkingChar"/>
    <w:uiPriority w:val="99"/>
    <w:semiHidden/>
    <w:unhideWhenUsed/>
    <w:rsid w:val="004350A2"/>
    <w:rPr>
      <w:b/>
      <w:bCs/>
    </w:rPr>
  </w:style>
  <w:style w:type="character" w:customStyle="1" w:styleId="OnderwerpvanopmerkingChar">
    <w:name w:val="Onderwerp van opmerking Char"/>
    <w:basedOn w:val="TekstopmerkingChar"/>
    <w:link w:val="Onderwerpvanopmerking"/>
    <w:uiPriority w:val="99"/>
    <w:semiHidden/>
    <w:rsid w:val="004350A2"/>
    <w:rPr>
      <w:b/>
      <w:bCs/>
      <w:sz w:val="20"/>
      <w:szCs w:val="20"/>
    </w:rPr>
  </w:style>
  <w:style w:type="paragraph" w:styleId="Geenafstand">
    <w:name w:val="No Spacing"/>
    <w:uiPriority w:val="1"/>
    <w:qFormat/>
    <w:rsid w:val="00FF046F"/>
  </w:style>
  <w:style w:type="character" w:customStyle="1" w:styleId="TemplateBodyTextChar">
    <w:name w:val="Template Body Text Char"/>
    <w:basedOn w:val="PlattetekstChar"/>
    <w:link w:val="TemplateBodyText"/>
    <w:uiPriority w:val="99"/>
    <w:rsid w:val="00E90A08"/>
    <w:rPr>
      <w:rFonts w:ascii="ArialMT" w:hAnsi="ArialMT" w:cs="ArialMT"/>
      <w:color w:val="000000"/>
    </w:rPr>
  </w:style>
  <w:style w:type="character" w:customStyle="1" w:styleId="Kop2Char">
    <w:name w:val="Kop 2 Char"/>
    <w:basedOn w:val="Standaardalinea-lettertype"/>
    <w:link w:val="Kop2"/>
    <w:uiPriority w:val="9"/>
    <w:rsid w:val="00B24B48"/>
    <w:rPr>
      <w:rFonts w:asciiTheme="majorHAnsi" w:eastAsiaTheme="majorEastAsia" w:hAnsiTheme="majorHAnsi" w:cstheme="majorBidi"/>
      <w:color w:val="006A95" w:themeColor="accent1" w:themeShade="BF"/>
      <w:sz w:val="26"/>
      <w:szCs w:val="26"/>
    </w:rPr>
  </w:style>
  <w:style w:type="character" w:customStyle="1" w:styleId="Kop3Char">
    <w:name w:val="Kop 3 Char"/>
    <w:basedOn w:val="Standaardalinea-lettertype"/>
    <w:link w:val="Kop3"/>
    <w:uiPriority w:val="9"/>
    <w:rsid w:val="00946CF4"/>
    <w:rPr>
      <w:rFonts w:asciiTheme="majorHAnsi" w:eastAsiaTheme="majorEastAsia" w:hAnsiTheme="majorHAnsi" w:cstheme="majorBidi"/>
      <w:color w:val="004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IA 2013 PPT">
  <a:themeElements>
    <a:clrScheme name="Custom 1">
      <a:dk1>
        <a:srgbClr val="061D38"/>
      </a:dk1>
      <a:lt1>
        <a:sysClr val="window" lastClr="FFFFFF"/>
      </a:lt1>
      <a:dk2>
        <a:srgbClr val="004572"/>
      </a:dk2>
      <a:lt2>
        <a:srgbClr val="FFFFFE"/>
      </a:lt2>
      <a:accent1>
        <a:srgbClr val="008FC7"/>
      </a:accent1>
      <a:accent2>
        <a:srgbClr val="D32E30"/>
      </a:accent2>
      <a:accent3>
        <a:srgbClr val="4C4C4C"/>
      </a:accent3>
      <a:accent4>
        <a:srgbClr val="CECBC2"/>
      </a:accent4>
      <a:accent5>
        <a:srgbClr val="A7A8A7"/>
      </a:accent5>
      <a:accent6>
        <a:srgbClr val="DF6626"/>
      </a:accent6>
      <a:hlink>
        <a:srgbClr val="008FC7"/>
      </a:hlink>
      <a:folHlink>
        <a:srgbClr val="38123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A9F7BB32F2294F9D78893CD8E3280E" ma:contentTypeVersion="15" ma:contentTypeDescription="Een nieuw document maken." ma:contentTypeScope="" ma:versionID="f679380a8e4e886ecc5d957d2e1fe2ba">
  <xsd:schema xmlns:xsd="http://www.w3.org/2001/XMLSchema" xmlns:xs="http://www.w3.org/2001/XMLSchema" xmlns:p="http://schemas.microsoft.com/office/2006/metadata/properties" xmlns:ns2="0c3fcb60-73aa-4fba-936c-f4e4949477d8" xmlns:ns3="4954079c-738c-4385-842a-9c050cf63c06" targetNamespace="http://schemas.microsoft.com/office/2006/metadata/properties" ma:root="true" ma:fieldsID="106845997257846790f80a0afdb0d6c2" ns2:_="" ns3:_="">
    <xsd:import namespace="0c3fcb60-73aa-4fba-936c-f4e4949477d8"/>
    <xsd:import namespace="4954079c-738c-4385-842a-9c050cf63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fcb60-73aa-4fba-936c-f4e4949477d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8d94e95-c22f-4490-ac5b-50eb1da410da}" ma:internalName="TaxCatchAll" ma:showField="CatchAllData" ma:web="0c3fcb60-73aa-4fba-936c-f4e4949477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54079c-738c-4385-842a-9c050cf63c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eb6d24d-4a21-4ef1-8551-673e5fb1a20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3fcb60-73aa-4fba-936c-f4e4949477d8" xsi:nil="true"/>
    <lcf76f155ced4ddcb4097134ff3c332f xmlns="4954079c-738c-4385-842a-9c050cf63c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6C9A4C-8FB3-4CDF-80EF-951203C712DA}">
  <ds:schemaRefs>
    <ds:schemaRef ds:uri="http://schemas.openxmlformats.org/officeDocument/2006/bibliography"/>
  </ds:schemaRefs>
</ds:datastoreItem>
</file>

<file path=customXml/itemProps2.xml><?xml version="1.0" encoding="utf-8"?>
<ds:datastoreItem xmlns:ds="http://schemas.openxmlformats.org/officeDocument/2006/customXml" ds:itemID="{440A519C-3144-44A8-8523-2B82C61A73C3}"/>
</file>

<file path=customXml/itemProps3.xml><?xml version="1.0" encoding="utf-8"?>
<ds:datastoreItem xmlns:ds="http://schemas.openxmlformats.org/officeDocument/2006/customXml" ds:itemID="{43DCEE8D-F90D-46DE-BCE7-FF9C0125AE18}"/>
</file>

<file path=customXml/itemProps4.xml><?xml version="1.0" encoding="utf-8"?>
<ds:datastoreItem xmlns:ds="http://schemas.openxmlformats.org/officeDocument/2006/customXml" ds:itemID="{08F95484-9DAB-4684-917F-51FD6FD0F16B}"/>
</file>

<file path=docProps/app.xml><?xml version="1.0" encoding="utf-8"?>
<Properties xmlns="http://schemas.openxmlformats.org/officeDocument/2006/extended-properties" xmlns:vt="http://schemas.openxmlformats.org/officeDocument/2006/docPropsVTypes">
  <Template>3B65C7CB</Template>
  <TotalTime>12</TotalTime>
  <Pages>7</Pages>
  <Words>1625</Words>
  <Characters>8938</Characters>
  <Application>Microsoft Office Word</Application>
  <DocSecurity>0</DocSecurity>
  <Lines>74</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The IIA</Company>
  <LinksUpToDate>false</LinksUpToDate>
  <CharactersWithSpaces>10542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Citro</dc:creator>
  <cp:lastModifiedBy>Linda Poort</cp:lastModifiedBy>
  <cp:revision>13</cp:revision>
  <dcterms:created xsi:type="dcterms:W3CDTF">2017-08-18T12:37:00Z</dcterms:created>
  <dcterms:modified xsi:type="dcterms:W3CDTF">2017-08-21T12:59:00Z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0x0101009BA9F7BB32F2294F9D78893CD8E3280E</vt:lpwstr>
  </property>
</Properties>
</file>