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410AB9" w:rsidRDefault="00C6368B" w:rsidP="002F57B5">
      <w:pPr>
        <w:pStyle w:val="TemplateHeadline"/>
        <w:rPr>
          <w:rFonts w:asciiTheme="minorHAnsi" w:hAnsiTheme="minorHAnsi" w:cstheme="minorHAnsi"/>
        </w:rPr>
      </w:pPr>
      <w:r w:rsidRPr="00410AB9">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1533525</wp:posOffset>
                </wp:positionV>
                <wp:extent cx="6400800" cy="37719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377190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410AB9" w:rsidRDefault="002F57B5" w:rsidP="002F57B5">
                            <w:pPr>
                              <w:pStyle w:val="TemplateHeadline"/>
                              <w:rPr>
                                <w:rFonts w:asciiTheme="majorHAnsi" w:hAnsiTheme="majorHAnsi" w:cstheme="majorHAnsi"/>
                                <w:lang w:val="nl-NL"/>
                              </w:rPr>
                            </w:pPr>
                            <w:bookmarkStart w:id="0" w:name="_GoBack"/>
                            <w:bookmarkEnd w:id="0"/>
                            <w:r w:rsidRPr="00410AB9">
                              <w:rPr>
                                <w:rFonts w:asciiTheme="majorHAnsi" w:hAnsiTheme="majorHAnsi" w:cstheme="majorHAnsi"/>
                                <w:lang w:val="nl-NL"/>
                              </w:rPr>
                              <w:t xml:space="preserve">Standaard </w:t>
                            </w:r>
                            <w:r w:rsidR="00C747C1" w:rsidRPr="00410AB9">
                              <w:rPr>
                                <w:rFonts w:asciiTheme="majorHAnsi" w:hAnsiTheme="majorHAnsi" w:cstheme="majorHAnsi"/>
                                <w:lang w:val="nl-NL"/>
                              </w:rPr>
                              <w:t>2431 – Kennisgeving over niet-naleving tijdens de opdracht</w:t>
                            </w:r>
                          </w:p>
                          <w:p w:rsidR="00E269AE" w:rsidRPr="00410AB9" w:rsidRDefault="00C747C1" w:rsidP="00E269AE">
                            <w:pPr>
                              <w:autoSpaceDE w:val="0"/>
                              <w:autoSpaceDN w:val="0"/>
                              <w:adjustRightInd w:val="0"/>
                              <w:spacing w:before="100" w:beforeAutospacing="1" w:after="100" w:afterAutospacing="1"/>
                              <w:jc w:val="both"/>
                              <w:rPr>
                                <w:rFonts w:ascii="Arial" w:hAnsi="Arial" w:cs="Arial"/>
                                <w:color w:val="000000"/>
                                <w:sz w:val="22"/>
                                <w:szCs w:val="22"/>
                                <w:lang w:val="nl-NL"/>
                              </w:rPr>
                            </w:pPr>
                            <w:r w:rsidRPr="00410AB9">
                              <w:rPr>
                                <w:rFonts w:ascii="Arial" w:hAnsi="Arial" w:cs="Arial"/>
                                <w:color w:val="000000"/>
                                <w:sz w:val="22"/>
                                <w:szCs w:val="22"/>
                                <w:lang w:val="nl-NL"/>
                              </w:rPr>
                              <w:t>Wanneer het niet-naleven van de definitie van internal auditing, de gedragscode of de Standaarden gevolgen heeft voor een bepaalde opdracht, moet de communicatie van de resultaten melding maken van:</w:t>
                            </w:r>
                          </w:p>
                          <w:p w:rsidR="00C747C1" w:rsidRPr="00410AB9" w:rsidRDefault="00C747C1" w:rsidP="00C747C1">
                            <w:pPr>
                              <w:pStyle w:val="RedBullets"/>
                              <w:rPr>
                                <w:sz w:val="22"/>
                                <w:szCs w:val="22"/>
                                <w:lang w:val="nl-NL"/>
                              </w:rPr>
                            </w:pPr>
                            <w:r w:rsidRPr="00410AB9">
                              <w:rPr>
                                <w:sz w:val="22"/>
                                <w:szCs w:val="22"/>
                                <w:lang w:val="nl-NL"/>
                              </w:rPr>
                              <w:t>het principe of de gedragsregel van de gedragscode of de Standaard(en) die niet geheel werd(en) nageleefd;</w:t>
                            </w:r>
                          </w:p>
                          <w:p w:rsidR="00C747C1" w:rsidRPr="00410AB9" w:rsidRDefault="00C747C1" w:rsidP="00C747C1">
                            <w:pPr>
                              <w:pStyle w:val="RedBullets"/>
                              <w:rPr>
                                <w:sz w:val="22"/>
                                <w:szCs w:val="22"/>
                                <w:lang w:val="nl-NL"/>
                              </w:rPr>
                            </w:pPr>
                            <w:r w:rsidRPr="00410AB9">
                              <w:rPr>
                                <w:sz w:val="22"/>
                                <w:szCs w:val="22"/>
                                <w:lang w:val="nl-NL"/>
                              </w:rPr>
                              <w:t>de reden(en) van het niet-naleven;</w:t>
                            </w:r>
                          </w:p>
                          <w:p w:rsidR="00C747C1" w:rsidRPr="00410AB9" w:rsidRDefault="00C747C1" w:rsidP="00C747C1">
                            <w:pPr>
                              <w:pStyle w:val="RedBullets"/>
                              <w:rPr>
                                <w:sz w:val="22"/>
                                <w:szCs w:val="22"/>
                                <w:lang w:val="nl-NL"/>
                              </w:rPr>
                            </w:pPr>
                            <w:r w:rsidRPr="00410AB9">
                              <w:rPr>
                                <w:sz w:val="22"/>
                                <w:szCs w:val="22"/>
                                <w:lang w:val="nl-NL"/>
                              </w:rPr>
                              <w:t>de gevolgen van het niet-naleven voor de opdracht en de gecommuniceerde resultaten van de opdracht.</w:t>
                            </w:r>
                          </w:p>
                          <w:p w:rsidR="00C747C1" w:rsidRPr="00410AB9" w:rsidRDefault="00C747C1" w:rsidP="00963DFA">
                            <w:pPr>
                              <w:pStyle w:val="RedBullets"/>
                              <w:numPr>
                                <w:ilvl w:val="0"/>
                                <w:numId w:val="0"/>
                              </w:numPr>
                              <w:jc w:val="right"/>
                              <w:rPr>
                                <w:rFonts w:cstheme="majorHAnsi"/>
                                <w:sz w:val="22"/>
                                <w:szCs w:val="22"/>
                                <w:lang w:val="nl-NL"/>
                              </w:rPr>
                            </w:pPr>
                          </w:p>
                          <w:p w:rsidR="00963DFA" w:rsidRPr="00410AB9" w:rsidRDefault="00963DFA" w:rsidP="00963DFA">
                            <w:pPr>
                              <w:pStyle w:val="RedBullets"/>
                              <w:numPr>
                                <w:ilvl w:val="0"/>
                                <w:numId w:val="0"/>
                              </w:numPr>
                              <w:jc w:val="right"/>
                              <w:rPr>
                                <w:rFonts w:cstheme="majorHAnsi"/>
                                <w:sz w:val="22"/>
                                <w:szCs w:val="22"/>
                                <w:lang w:val="nl-NL"/>
                              </w:rPr>
                            </w:pPr>
                            <w:proofErr w:type="spellStart"/>
                            <w:r w:rsidRPr="00410AB9">
                              <w:rPr>
                                <w:rFonts w:cstheme="majorHAnsi"/>
                                <w:sz w:val="22"/>
                                <w:szCs w:val="22"/>
                                <w:lang w:val="nl-NL"/>
                              </w:rPr>
                              <w:t>Herziene</w:t>
                            </w:r>
                            <w:proofErr w:type="spellEnd"/>
                            <w:r w:rsidRPr="00410AB9">
                              <w:rPr>
                                <w:rFonts w:cstheme="majorHAnsi"/>
                                <w:sz w:val="22"/>
                                <w:szCs w:val="22"/>
                                <w:lang w:val="nl-NL"/>
                              </w:rPr>
                              <w:t xml:space="preserve"> </w:t>
                            </w:r>
                            <w:r w:rsidRPr="00410AB9">
                              <w:rPr>
                                <w:rFonts w:cstheme="majorHAnsi"/>
                                <w:i/>
                                <w:sz w:val="22"/>
                                <w:szCs w:val="22"/>
                                <w:lang w:val="nl-NL"/>
                              </w:rPr>
                              <w:t>Standaarden</w:t>
                            </w:r>
                            <w:r w:rsidRPr="00410AB9">
                              <w:rPr>
                                <w:rFonts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20.75pt;width:7in;height:297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" fillcolor="#d8d8d8 [2732]" stroked="f">
                <v:textbox inset="14.4pt,23.76pt,14.4pt,23.76pt">
                  <w:txbxContent>
                    <w:p w:rsidR="002F57B5" w:rsidRPr="00410AB9" w:rsidRDefault="002F57B5" w:rsidP="002F57B5">
                      <w:pPr>
                        <w:pStyle w:val="TemplateHeadline"/>
                        <w:rPr>
                          <w:rFonts w:asciiTheme="majorHAnsi" w:hAnsiTheme="majorHAnsi" w:cstheme="majorHAnsi"/>
                          <w:lang w:val="nl-NL"/>
                        </w:rPr>
                      </w:pPr>
                      <w:bookmarkStart w:id="1" w:name="_GoBack"/>
                      <w:bookmarkEnd w:id="1"/>
                      <w:r w:rsidRPr="00410AB9">
                        <w:rPr>
                          <w:rFonts w:asciiTheme="majorHAnsi" w:hAnsiTheme="majorHAnsi" w:cstheme="majorHAnsi"/>
                          <w:lang w:val="nl-NL"/>
                        </w:rPr>
                        <w:t xml:space="preserve">Standaard </w:t>
                      </w:r>
                      <w:r w:rsidR="00C747C1" w:rsidRPr="00410AB9">
                        <w:rPr>
                          <w:rFonts w:asciiTheme="majorHAnsi" w:hAnsiTheme="majorHAnsi" w:cstheme="majorHAnsi"/>
                          <w:lang w:val="nl-NL"/>
                        </w:rPr>
                        <w:t>2431 – Kennisgeving over niet-naleving tijdens de opdracht</w:t>
                      </w:r>
                    </w:p>
                    <w:p w:rsidR="00E269AE" w:rsidRPr="00410AB9" w:rsidRDefault="00C747C1" w:rsidP="00E269AE">
                      <w:pPr>
                        <w:autoSpaceDE w:val="0"/>
                        <w:autoSpaceDN w:val="0"/>
                        <w:adjustRightInd w:val="0"/>
                        <w:spacing w:before="100" w:beforeAutospacing="1" w:after="100" w:afterAutospacing="1"/>
                        <w:jc w:val="both"/>
                        <w:rPr>
                          <w:rFonts w:ascii="Arial" w:hAnsi="Arial" w:cs="Arial"/>
                          <w:color w:val="000000"/>
                          <w:sz w:val="22"/>
                          <w:szCs w:val="22"/>
                          <w:lang w:val="nl-NL"/>
                        </w:rPr>
                      </w:pPr>
                      <w:r w:rsidRPr="00410AB9">
                        <w:rPr>
                          <w:rFonts w:ascii="Arial" w:hAnsi="Arial" w:cs="Arial"/>
                          <w:color w:val="000000"/>
                          <w:sz w:val="22"/>
                          <w:szCs w:val="22"/>
                          <w:lang w:val="nl-NL"/>
                        </w:rPr>
                        <w:t>Wanneer het niet-naleven van de definitie van internal auditing, de gedragscode of de Standaarden gevolgen heeft voor een bepaalde opdracht, moet de communicatie van de resultaten melding maken van:</w:t>
                      </w:r>
                    </w:p>
                    <w:p w:rsidR="00C747C1" w:rsidRPr="00410AB9" w:rsidRDefault="00C747C1" w:rsidP="00C747C1">
                      <w:pPr>
                        <w:pStyle w:val="RedBullets"/>
                        <w:rPr>
                          <w:sz w:val="22"/>
                          <w:szCs w:val="22"/>
                          <w:lang w:val="nl-NL"/>
                        </w:rPr>
                      </w:pPr>
                      <w:r w:rsidRPr="00410AB9">
                        <w:rPr>
                          <w:sz w:val="22"/>
                          <w:szCs w:val="22"/>
                          <w:lang w:val="nl-NL"/>
                        </w:rPr>
                        <w:t>het principe of de gedragsregel van de gedragscode of de Standaard(en) die niet geheel werd(en) nageleefd;</w:t>
                      </w:r>
                    </w:p>
                    <w:p w:rsidR="00C747C1" w:rsidRPr="00410AB9" w:rsidRDefault="00C747C1" w:rsidP="00C747C1">
                      <w:pPr>
                        <w:pStyle w:val="RedBullets"/>
                        <w:rPr>
                          <w:sz w:val="22"/>
                          <w:szCs w:val="22"/>
                          <w:lang w:val="nl-NL"/>
                        </w:rPr>
                      </w:pPr>
                      <w:r w:rsidRPr="00410AB9">
                        <w:rPr>
                          <w:sz w:val="22"/>
                          <w:szCs w:val="22"/>
                          <w:lang w:val="nl-NL"/>
                        </w:rPr>
                        <w:t>de reden(en) van het niet-naleven;</w:t>
                      </w:r>
                    </w:p>
                    <w:p w:rsidR="00C747C1" w:rsidRPr="00410AB9" w:rsidRDefault="00C747C1" w:rsidP="00C747C1">
                      <w:pPr>
                        <w:pStyle w:val="RedBullets"/>
                        <w:rPr>
                          <w:sz w:val="22"/>
                          <w:szCs w:val="22"/>
                          <w:lang w:val="nl-NL"/>
                        </w:rPr>
                      </w:pPr>
                      <w:r w:rsidRPr="00410AB9">
                        <w:rPr>
                          <w:sz w:val="22"/>
                          <w:szCs w:val="22"/>
                          <w:lang w:val="nl-NL"/>
                        </w:rPr>
                        <w:t>de gevolgen van het niet-naleven voor de opdracht en de gecommuniceerde resultaten van de opdracht.</w:t>
                      </w:r>
                    </w:p>
                    <w:p w:rsidR="00C747C1" w:rsidRPr="00410AB9" w:rsidRDefault="00C747C1" w:rsidP="00963DFA">
                      <w:pPr>
                        <w:pStyle w:val="RedBullets"/>
                        <w:numPr>
                          <w:ilvl w:val="0"/>
                          <w:numId w:val="0"/>
                        </w:numPr>
                        <w:jc w:val="right"/>
                        <w:rPr>
                          <w:rFonts w:cstheme="majorHAnsi"/>
                          <w:sz w:val="22"/>
                          <w:szCs w:val="22"/>
                          <w:lang w:val="nl-NL"/>
                        </w:rPr>
                      </w:pPr>
                    </w:p>
                    <w:p w:rsidR="00963DFA" w:rsidRPr="00410AB9" w:rsidRDefault="00963DFA" w:rsidP="00963DFA">
                      <w:pPr>
                        <w:pStyle w:val="RedBullets"/>
                        <w:numPr>
                          <w:ilvl w:val="0"/>
                          <w:numId w:val="0"/>
                        </w:numPr>
                        <w:jc w:val="right"/>
                        <w:rPr>
                          <w:rFonts w:cstheme="majorHAnsi"/>
                          <w:sz w:val="22"/>
                          <w:szCs w:val="22"/>
                          <w:lang w:val="nl-NL"/>
                        </w:rPr>
                      </w:pPr>
                      <w:proofErr w:type="spellStart"/>
                      <w:r w:rsidRPr="00410AB9">
                        <w:rPr>
                          <w:rFonts w:cstheme="majorHAnsi"/>
                          <w:sz w:val="22"/>
                          <w:szCs w:val="22"/>
                          <w:lang w:val="nl-NL"/>
                        </w:rPr>
                        <w:t>Herziene</w:t>
                      </w:r>
                      <w:proofErr w:type="spellEnd"/>
                      <w:r w:rsidRPr="00410AB9">
                        <w:rPr>
                          <w:rFonts w:cstheme="majorHAnsi"/>
                          <w:sz w:val="22"/>
                          <w:szCs w:val="22"/>
                          <w:lang w:val="nl-NL"/>
                        </w:rPr>
                        <w:t xml:space="preserve"> </w:t>
                      </w:r>
                      <w:r w:rsidRPr="00410AB9">
                        <w:rPr>
                          <w:rFonts w:cstheme="majorHAnsi"/>
                          <w:i/>
                          <w:sz w:val="22"/>
                          <w:szCs w:val="22"/>
                          <w:lang w:val="nl-NL"/>
                        </w:rPr>
                        <w:t>Standaarden</w:t>
                      </w:r>
                      <w:r w:rsidRPr="00410AB9">
                        <w:rPr>
                          <w:rFonts w:cstheme="majorHAnsi"/>
                          <w:sz w:val="22"/>
                          <w:szCs w:val="22"/>
                          <w:lang w:val="nl-NL"/>
                        </w:rPr>
                        <w:t xml:space="preserve"> die per 1 januari 2017 van kracht zijn</w:t>
                      </w:r>
                    </w:p>
                  </w:txbxContent>
                </v:textbox>
                <w10:wrap type="square" anchorx="margin" anchory="margin"/>
              </v:shape>
            </w:pict>
          </mc:Fallback>
        </mc:AlternateContent>
      </w:r>
      <w:r w:rsidR="00685768" w:rsidRPr="00410AB9">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C747C1">
                              <w:rPr>
                                <w:color w:val="FFFFFF" w:themeColor="background1"/>
                                <w:sz w:val="50"/>
                                <w:szCs w:val="50"/>
                                <w:lang w:val="nl-NL"/>
                                <w14:textOutline w14:w="9525" w14:cap="flat" w14:cmpd="sng" w14:algn="ctr">
                                  <w14:noFill/>
                                  <w14:prstDash w14:val="solid"/>
                                  <w14:round/>
                                </w14:textOutline>
                              </w:rPr>
                              <w:t>431</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C747C1">
                        <w:rPr>
                          <w:color w:val="FFFFFF" w:themeColor="background1"/>
                          <w:sz w:val="50"/>
                          <w:szCs w:val="50"/>
                          <w:lang w:val="nl-NL"/>
                          <w14:textOutline w14:w="9525" w14:cap="flat" w14:cmpd="sng" w14:algn="ctr">
                            <w14:noFill/>
                            <w14:prstDash w14:val="solid"/>
                            <w14:round/>
                          </w14:textOutline>
                        </w:rPr>
                        <w:t>431</w:t>
                      </w:r>
                    </w:p>
                  </w:txbxContent>
                </v:textbox>
                <w10:wrap type="square" anchorx="page" anchory="page"/>
              </v:shape>
            </w:pict>
          </mc:Fallback>
        </mc:AlternateContent>
      </w:r>
      <w:r w:rsidR="00685768" w:rsidRPr="00410AB9">
        <w:rPr>
          <w:rFonts w:asciiTheme="minorHAnsi" w:hAnsiTheme="minorHAnsi" w:cstheme="minorHAnsi"/>
          <w:lang w:val="nl-NL"/>
        </w:rPr>
        <w:t xml:space="preserve">Inleiding </w:t>
      </w:r>
    </w:p>
    <w:p w:rsidR="00D11289" w:rsidRPr="00410AB9" w:rsidRDefault="00D11289" w:rsidP="00D11289">
      <w:pPr>
        <w:pStyle w:val="TemplateBodyText"/>
        <w:rPr>
          <w:rFonts w:asciiTheme="minorHAnsi" w:hAnsiTheme="minorHAnsi" w:cstheme="minorHAnsi"/>
          <w:sz w:val="22"/>
          <w:szCs w:val="22"/>
          <w:lang w:val="nl-NL"/>
        </w:rPr>
      </w:pPr>
      <w:r w:rsidRPr="00410AB9">
        <w:rPr>
          <w:rFonts w:asciiTheme="minorHAnsi" w:hAnsiTheme="minorHAnsi" w:cstheme="minorHAnsi"/>
          <w:sz w:val="22"/>
          <w:szCs w:val="22"/>
          <w:lang w:val="nl-NL"/>
        </w:rPr>
        <w:t xml:space="preserve">Standaard 2431 vereist melding wanneer de resultaten van een specifieke opdracht worden beïnvloed door niet-naleving van de Gedragscode of de </w:t>
      </w:r>
      <w:r w:rsidRPr="00410AB9">
        <w:rPr>
          <w:rFonts w:asciiTheme="minorHAnsi" w:hAnsiTheme="minorHAnsi" w:cstheme="minorHAnsi"/>
          <w:i/>
          <w:iCs/>
          <w:sz w:val="22"/>
          <w:szCs w:val="22"/>
          <w:lang w:val="nl-NL"/>
        </w:rPr>
        <w:t>Internationale</w:t>
      </w:r>
      <w:r w:rsidRPr="00410AB9">
        <w:rPr>
          <w:rFonts w:asciiTheme="minorHAnsi" w:hAnsiTheme="minorHAnsi" w:cstheme="minorHAnsi"/>
          <w:sz w:val="22"/>
          <w:szCs w:val="22"/>
          <w:lang w:val="nl-NL"/>
        </w:rPr>
        <w:t xml:space="preserve"> </w:t>
      </w:r>
      <w:r w:rsidRPr="00410AB9">
        <w:rPr>
          <w:rFonts w:asciiTheme="minorHAnsi" w:hAnsiTheme="minorHAnsi" w:cstheme="minorHAnsi"/>
          <w:i/>
          <w:iCs/>
          <w:sz w:val="22"/>
          <w:szCs w:val="22"/>
          <w:lang w:val="nl-NL"/>
        </w:rPr>
        <w:t>standaarden voor de beroepsuitoefening van internal auditing</w:t>
      </w:r>
      <w:r w:rsidRPr="00410AB9">
        <w:rPr>
          <w:rFonts w:asciiTheme="minorHAnsi" w:hAnsiTheme="minorHAnsi" w:cstheme="minorHAnsi"/>
          <w:sz w:val="22"/>
          <w:szCs w:val="22"/>
          <w:lang w:val="nl-NL"/>
        </w:rPr>
        <w:t xml:space="preserve"> (</w:t>
      </w:r>
      <w:r w:rsidRPr="00410AB9">
        <w:rPr>
          <w:rFonts w:asciiTheme="minorHAnsi" w:hAnsiTheme="minorHAnsi" w:cstheme="minorHAnsi"/>
          <w:i/>
          <w:iCs/>
          <w:sz w:val="22"/>
          <w:szCs w:val="22"/>
          <w:lang w:val="nl-NL"/>
        </w:rPr>
        <w:t>Standaarden</w:t>
      </w:r>
      <w:r w:rsidRPr="00410AB9">
        <w:rPr>
          <w:rFonts w:asciiTheme="minorHAnsi" w:hAnsiTheme="minorHAnsi" w:cstheme="minorHAnsi"/>
          <w:sz w:val="22"/>
          <w:szCs w:val="22"/>
          <w:lang w:val="nl-NL"/>
        </w:rPr>
        <w:t xml:space="preserve">). Daarom moeten internal auditors inzicht hebben in de Gedragscode van het IIA en de </w:t>
      </w:r>
      <w:r w:rsidRPr="00410AB9">
        <w:rPr>
          <w:rFonts w:asciiTheme="minorHAnsi" w:hAnsiTheme="minorHAnsi" w:cstheme="minorHAnsi"/>
          <w:i/>
          <w:iCs/>
          <w:sz w:val="22"/>
          <w:szCs w:val="22"/>
          <w:lang w:val="nl-NL"/>
        </w:rPr>
        <w:t xml:space="preserve">Standaarden </w:t>
      </w:r>
      <w:r w:rsidRPr="00410AB9">
        <w:rPr>
          <w:rFonts w:asciiTheme="minorHAnsi" w:hAnsiTheme="minorHAnsi" w:cstheme="minorHAnsi"/>
          <w:sz w:val="22"/>
          <w:szCs w:val="22"/>
          <w:lang w:val="nl-NL"/>
        </w:rPr>
        <w:t>. Zij dienen ook te weten wat de mogelijke gebieden van niet-naleving zijn op het niveau van de opdracht en wat de verwachtingen van het senior management en het bestuur zijn met betrekking tot het melden van alle gevallen van niet-naleving.</w:t>
      </w:r>
    </w:p>
    <w:p w:rsidR="00D11289" w:rsidRPr="00410AB9" w:rsidRDefault="00D11289" w:rsidP="00D11289">
      <w:pPr>
        <w:pStyle w:val="TemplateBodyText"/>
        <w:rPr>
          <w:rFonts w:asciiTheme="minorHAnsi" w:hAnsiTheme="minorHAnsi" w:cstheme="minorHAnsi"/>
          <w:sz w:val="22"/>
          <w:szCs w:val="22"/>
          <w:lang w:val="nl-NL"/>
        </w:rPr>
      </w:pPr>
      <w:r w:rsidRPr="00410AB9">
        <w:rPr>
          <w:rFonts w:asciiTheme="minorHAnsi" w:hAnsiTheme="minorHAnsi" w:cstheme="minorHAnsi"/>
          <w:sz w:val="22"/>
          <w:szCs w:val="22"/>
          <w:lang w:val="nl-NL"/>
        </w:rPr>
        <w:lastRenderedPageBreak/>
        <w:t>De Gedragscode van het IIA omvat brede principes die relevant zijn voor het beroep en de praktijk van internal auditing en specifiekere gedragsregels die het gedrag beschrijven dat verwacht wordt van zowel entiteiten als personen die internal auditdiensten verrichten overeenkomstig de definitie van internal auditing (inclusief leden van het IIA, ontvangers van IIA-certificaten en kandidaten voor certificering). Het doel van de Gedragscode is het bevorderen van een ethische cultuur binnen de wereldwijde beroepsgroep van internal auditing.</w:t>
      </w:r>
    </w:p>
    <w:p w:rsidR="00D11289" w:rsidRPr="00410AB9" w:rsidRDefault="00D11289" w:rsidP="00D11289">
      <w:pPr>
        <w:pStyle w:val="TemplateBodyText"/>
        <w:rPr>
          <w:rFonts w:asciiTheme="minorHAnsi" w:hAnsiTheme="minorHAnsi" w:cstheme="minorHAnsi"/>
          <w:sz w:val="22"/>
          <w:szCs w:val="22"/>
          <w:lang w:val="nl-NL"/>
        </w:rPr>
      </w:pPr>
      <w:r w:rsidRPr="00410AB9">
        <w:rPr>
          <w:rFonts w:asciiTheme="minorHAnsi" w:hAnsiTheme="minorHAnsi" w:cstheme="minorHAnsi"/>
          <w:sz w:val="22"/>
          <w:szCs w:val="22"/>
          <w:lang w:val="nl-NL"/>
        </w:rPr>
        <w:t xml:space="preserve">Zoals vermeld in de Inleiding tot de </w:t>
      </w:r>
      <w:r w:rsidRPr="00410AB9">
        <w:rPr>
          <w:rFonts w:asciiTheme="minorHAnsi" w:hAnsiTheme="minorHAnsi" w:cstheme="minorHAnsi"/>
          <w:i/>
          <w:iCs/>
          <w:sz w:val="22"/>
          <w:szCs w:val="22"/>
          <w:lang w:val="nl-NL"/>
        </w:rPr>
        <w:t>Standaarden</w:t>
      </w:r>
      <w:r w:rsidRPr="00410AB9">
        <w:rPr>
          <w:rFonts w:asciiTheme="minorHAnsi" w:hAnsiTheme="minorHAnsi" w:cstheme="minorHAnsi"/>
          <w:sz w:val="22"/>
          <w:szCs w:val="22"/>
          <w:lang w:val="nl-NL"/>
        </w:rPr>
        <w:t xml:space="preserve">: "Het doel van de </w:t>
      </w:r>
      <w:r w:rsidRPr="00410AB9">
        <w:rPr>
          <w:rFonts w:asciiTheme="minorHAnsi" w:hAnsiTheme="minorHAnsi" w:cstheme="minorHAnsi"/>
          <w:i/>
          <w:iCs/>
          <w:sz w:val="22"/>
          <w:szCs w:val="22"/>
          <w:lang w:val="nl-NL"/>
        </w:rPr>
        <w:t>Standaarden</w:t>
      </w:r>
      <w:r w:rsidRPr="00410AB9">
        <w:rPr>
          <w:rFonts w:asciiTheme="minorHAnsi" w:hAnsiTheme="minorHAnsi" w:cstheme="minorHAnsi"/>
          <w:sz w:val="22"/>
          <w:szCs w:val="22"/>
          <w:lang w:val="nl-NL"/>
        </w:rPr>
        <w:t xml:space="preserve"> is:</w:t>
      </w:r>
    </w:p>
    <w:p w:rsidR="00D11289" w:rsidRPr="00410AB9" w:rsidRDefault="00D11289" w:rsidP="00D11289">
      <w:pPr>
        <w:pStyle w:val="RedBullets"/>
        <w:numPr>
          <w:ilvl w:val="0"/>
          <w:numId w:val="6"/>
        </w:numPr>
        <w:tabs>
          <w:tab w:val="left" w:pos="4320"/>
        </w:tabs>
        <w:suppressAutoHyphens w:val="0"/>
        <w:spacing w:after="180" w:line="360" w:lineRule="atLeast"/>
        <w:contextualSpacing/>
        <w:rPr>
          <w:rFonts w:asciiTheme="minorHAnsi" w:hAnsiTheme="minorHAnsi" w:cstheme="minorHAnsi"/>
          <w:sz w:val="22"/>
          <w:szCs w:val="22"/>
          <w:lang w:val="nl-NL"/>
        </w:rPr>
      </w:pPr>
      <w:r w:rsidRPr="00410AB9">
        <w:rPr>
          <w:rFonts w:asciiTheme="minorHAnsi" w:hAnsiTheme="minorHAnsi" w:cstheme="minorHAnsi"/>
          <w:sz w:val="22"/>
          <w:szCs w:val="22"/>
          <w:lang w:val="nl-NL"/>
        </w:rPr>
        <w:t>Sturen van navolging van verplichte aspecten van het internationale raamwerk voor de beroepsuitoefening.</w:t>
      </w:r>
    </w:p>
    <w:p w:rsidR="00D11289" w:rsidRPr="00410AB9" w:rsidRDefault="00D11289" w:rsidP="00D11289">
      <w:pPr>
        <w:pStyle w:val="RedBullets"/>
        <w:numPr>
          <w:ilvl w:val="0"/>
          <w:numId w:val="6"/>
        </w:numPr>
        <w:tabs>
          <w:tab w:val="left" w:pos="4320"/>
        </w:tabs>
        <w:suppressAutoHyphens w:val="0"/>
        <w:spacing w:after="180" w:line="360" w:lineRule="atLeast"/>
        <w:contextualSpacing/>
        <w:rPr>
          <w:rFonts w:asciiTheme="minorHAnsi" w:hAnsiTheme="minorHAnsi" w:cstheme="minorHAnsi"/>
          <w:sz w:val="22"/>
          <w:szCs w:val="22"/>
          <w:lang w:val="nl-NL"/>
        </w:rPr>
      </w:pPr>
      <w:r w:rsidRPr="00410AB9">
        <w:rPr>
          <w:rFonts w:asciiTheme="minorHAnsi" w:hAnsiTheme="minorHAnsi" w:cstheme="minorHAnsi"/>
          <w:sz w:val="22"/>
          <w:szCs w:val="22"/>
          <w:lang w:val="nl-NL"/>
        </w:rPr>
        <w:t>Een raamwerk aanreiken voor het uitoefenen en bevorderen van een breed aanbod van interne auditdiensten die meerwaarde bieden.</w:t>
      </w:r>
    </w:p>
    <w:p w:rsidR="00D11289" w:rsidRPr="00410AB9" w:rsidRDefault="00D11289" w:rsidP="00D11289">
      <w:pPr>
        <w:pStyle w:val="RedBullets"/>
        <w:numPr>
          <w:ilvl w:val="0"/>
          <w:numId w:val="6"/>
        </w:numPr>
        <w:tabs>
          <w:tab w:val="left" w:pos="4320"/>
        </w:tabs>
        <w:suppressAutoHyphens w:val="0"/>
        <w:spacing w:after="180" w:line="360" w:lineRule="atLeast"/>
        <w:contextualSpacing/>
        <w:rPr>
          <w:rFonts w:asciiTheme="minorHAnsi" w:hAnsiTheme="minorHAnsi" w:cstheme="minorHAnsi"/>
          <w:sz w:val="22"/>
          <w:szCs w:val="22"/>
          <w:lang w:val="nl-NL"/>
        </w:rPr>
      </w:pPr>
      <w:r w:rsidRPr="00410AB9">
        <w:rPr>
          <w:rFonts w:asciiTheme="minorHAnsi" w:hAnsiTheme="minorHAnsi" w:cstheme="minorHAnsi"/>
          <w:sz w:val="22"/>
          <w:szCs w:val="22"/>
          <w:lang w:val="nl-NL"/>
        </w:rPr>
        <w:t>De basis leggen voor de evaluatie van het functioneren van de internal auditfunctie.</w:t>
      </w:r>
    </w:p>
    <w:p w:rsidR="00D11289" w:rsidRPr="00410AB9" w:rsidRDefault="00D11289" w:rsidP="00D11289">
      <w:pPr>
        <w:pStyle w:val="RedBullets"/>
        <w:numPr>
          <w:ilvl w:val="0"/>
          <w:numId w:val="6"/>
        </w:numPr>
        <w:tabs>
          <w:tab w:val="left" w:pos="4320"/>
        </w:tabs>
        <w:suppressAutoHyphens w:val="0"/>
        <w:spacing w:after="180" w:line="360" w:lineRule="atLeast"/>
        <w:contextualSpacing/>
        <w:rPr>
          <w:rFonts w:asciiTheme="minorHAnsi" w:hAnsiTheme="minorHAnsi" w:cstheme="minorHAnsi"/>
          <w:sz w:val="22"/>
          <w:szCs w:val="22"/>
          <w:lang w:val="nl-NL"/>
        </w:rPr>
      </w:pPr>
      <w:r w:rsidRPr="00410AB9">
        <w:rPr>
          <w:rFonts w:asciiTheme="minorHAnsi" w:hAnsiTheme="minorHAnsi" w:cstheme="minorHAnsi"/>
          <w:sz w:val="22"/>
          <w:szCs w:val="22"/>
          <w:lang w:val="nl-NL"/>
        </w:rPr>
        <w:t>Het bevorderen van verbeterde organisatorische processen en activiteiten.</w:t>
      </w:r>
    </w:p>
    <w:p w:rsidR="00D11289" w:rsidRPr="00410AB9" w:rsidRDefault="00D11289" w:rsidP="00D11289">
      <w:pPr>
        <w:pStyle w:val="TemplateBodyText"/>
        <w:rPr>
          <w:rFonts w:asciiTheme="minorHAnsi" w:hAnsiTheme="minorHAnsi" w:cstheme="minorHAnsi"/>
          <w:sz w:val="22"/>
          <w:szCs w:val="22"/>
          <w:lang w:val="nl-NL"/>
        </w:rPr>
      </w:pPr>
      <w:r w:rsidRPr="00410AB9">
        <w:rPr>
          <w:rFonts w:asciiTheme="minorHAnsi" w:hAnsiTheme="minorHAnsi" w:cstheme="minorHAnsi"/>
          <w:sz w:val="22"/>
          <w:szCs w:val="22"/>
          <w:lang w:val="nl-NL"/>
        </w:rPr>
        <w:t xml:space="preserve">"De </w:t>
      </w:r>
      <w:r w:rsidRPr="00410AB9">
        <w:rPr>
          <w:rFonts w:asciiTheme="minorHAnsi" w:hAnsiTheme="minorHAnsi" w:cstheme="minorHAnsi"/>
          <w:i/>
          <w:iCs/>
          <w:sz w:val="22"/>
          <w:szCs w:val="22"/>
          <w:lang w:val="nl-NL"/>
        </w:rPr>
        <w:t xml:space="preserve">Standaarden </w:t>
      </w:r>
      <w:r w:rsidRPr="00410AB9">
        <w:rPr>
          <w:rFonts w:asciiTheme="minorHAnsi" w:hAnsiTheme="minorHAnsi" w:cstheme="minorHAnsi"/>
          <w:sz w:val="22"/>
          <w:szCs w:val="22"/>
          <w:lang w:val="nl-NL"/>
        </w:rPr>
        <w:t>zijn een reeks principiële en dwingende vereisten, die bestaan uit:</w:t>
      </w:r>
    </w:p>
    <w:p w:rsidR="00D11289" w:rsidRPr="00410AB9" w:rsidRDefault="00D11289" w:rsidP="00D11289">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10AB9">
        <w:rPr>
          <w:rFonts w:asciiTheme="minorHAnsi" w:hAnsiTheme="minorHAnsi" w:cstheme="minorHAnsi"/>
          <w:sz w:val="22"/>
          <w:szCs w:val="22"/>
          <w:lang w:val="nl-NL"/>
        </w:rPr>
        <w:t>omschrijvingen van de kernvereisten voor de beroepsuitoefening van internal auditing en voor de beoordeling van de doelmatigheid van de prestaties die internationaal gelden op organisatorisch en individueel niveau;</w:t>
      </w:r>
    </w:p>
    <w:p w:rsidR="00D11289" w:rsidRPr="00410AB9" w:rsidRDefault="00D11289" w:rsidP="00D11289">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10AB9">
        <w:rPr>
          <w:rFonts w:asciiTheme="minorHAnsi" w:hAnsiTheme="minorHAnsi" w:cstheme="minorHAnsi"/>
          <w:sz w:val="22"/>
          <w:szCs w:val="22"/>
          <w:lang w:val="nl-NL"/>
        </w:rPr>
        <w:t xml:space="preserve">Interpretaties ter verduidelijking van de termen en concepten binnen de </w:t>
      </w:r>
      <w:r w:rsidRPr="00410AB9">
        <w:rPr>
          <w:rFonts w:asciiTheme="minorHAnsi" w:hAnsiTheme="minorHAnsi" w:cstheme="minorHAnsi"/>
          <w:i/>
          <w:iCs/>
          <w:sz w:val="22"/>
          <w:szCs w:val="22"/>
          <w:lang w:val="nl-NL"/>
        </w:rPr>
        <w:t>Standaarden.</w:t>
      </w:r>
      <w:r w:rsidRPr="00410AB9">
        <w:rPr>
          <w:rFonts w:asciiTheme="minorHAnsi" w:hAnsiTheme="minorHAnsi" w:cstheme="minorHAnsi"/>
          <w:sz w:val="22"/>
          <w:szCs w:val="22"/>
          <w:lang w:val="nl-NL"/>
        </w:rPr>
        <w:t>”</w:t>
      </w:r>
    </w:p>
    <w:p w:rsidR="002F57B5" w:rsidRPr="00410AB9" w:rsidRDefault="002F57B5" w:rsidP="002F57B5">
      <w:pPr>
        <w:pStyle w:val="TemplateHeadline"/>
        <w:rPr>
          <w:rFonts w:asciiTheme="minorHAnsi" w:hAnsiTheme="minorHAnsi" w:cstheme="minorHAnsi"/>
          <w:color w:val="000000"/>
          <w:sz w:val="22"/>
          <w:szCs w:val="22"/>
        </w:rPr>
      </w:pPr>
    </w:p>
    <w:p w:rsidR="002F57B5" w:rsidRPr="00410AB9" w:rsidRDefault="00685768" w:rsidP="002F57B5">
      <w:pPr>
        <w:pStyle w:val="TemplateHeadline"/>
        <w:rPr>
          <w:rFonts w:asciiTheme="minorHAnsi" w:hAnsiTheme="minorHAnsi" w:cstheme="minorHAnsi"/>
        </w:rPr>
      </w:pPr>
      <w:r w:rsidRPr="00410AB9">
        <w:rPr>
          <w:rFonts w:asciiTheme="minorHAnsi" w:hAnsiTheme="minorHAnsi" w:cstheme="minorHAnsi"/>
          <w:lang w:val="nl-NL"/>
        </w:rPr>
        <w:t xml:space="preserve">Overwegingen bij de implementatie </w:t>
      </w:r>
    </w:p>
    <w:p w:rsidR="007C571F" w:rsidRPr="00410AB9" w:rsidRDefault="007C571F" w:rsidP="007C571F">
      <w:pPr>
        <w:pStyle w:val="TemplateBodyText"/>
        <w:rPr>
          <w:rFonts w:asciiTheme="minorHAnsi" w:hAnsiTheme="minorHAnsi" w:cstheme="minorHAnsi"/>
          <w:sz w:val="22"/>
          <w:szCs w:val="22"/>
          <w:lang w:val="nl-NL"/>
        </w:rPr>
      </w:pPr>
      <w:r w:rsidRPr="00410AB9">
        <w:rPr>
          <w:rFonts w:asciiTheme="minorHAnsi" w:hAnsiTheme="minorHAnsi" w:cstheme="minorHAnsi"/>
          <w:sz w:val="22"/>
          <w:szCs w:val="22"/>
          <w:lang w:val="nl-NL"/>
        </w:rPr>
        <w:t xml:space="preserve">Soms kunnen bepaalde omstandigheden verhinderen dat internal auditors voldoen aan de Gedragscode of de </w:t>
      </w:r>
      <w:r w:rsidRPr="00410AB9">
        <w:rPr>
          <w:rFonts w:asciiTheme="minorHAnsi" w:hAnsiTheme="minorHAnsi" w:cstheme="minorHAnsi"/>
          <w:i/>
          <w:iCs/>
          <w:sz w:val="22"/>
          <w:szCs w:val="22"/>
          <w:lang w:val="nl-NL"/>
        </w:rPr>
        <w:t>Standaarden</w:t>
      </w:r>
      <w:r w:rsidRPr="00410AB9">
        <w:rPr>
          <w:rFonts w:asciiTheme="minorHAnsi" w:hAnsiTheme="minorHAnsi" w:cstheme="minorHAnsi"/>
          <w:sz w:val="22"/>
          <w:szCs w:val="22"/>
          <w:lang w:val="nl-NL"/>
        </w:rPr>
        <w:t xml:space="preserve"> tijdens de uitvoering van een opdracht </w:t>
      </w:r>
      <w:r w:rsidRPr="00410AB9">
        <w:rPr>
          <w:rFonts w:asciiTheme="minorHAnsi" w:hAnsiTheme="minorHAnsi" w:cstheme="minorHAnsi"/>
          <w:i/>
          <w:iCs/>
          <w:sz w:val="22"/>
          <w:szCs w:val="22"/>
          <w:lang w:val="nl-NL"/>
        </w:rPr>
        <w:t>.</w:t>
      </w:r>
      <w:r w:rsidRPr="00410AB9">
        <w:rPr>
          <w:rFonts w:asciiTheme="minorHAnsi" w:hAnsiTheme="minorHAnsi" w:cstheme="minorHAnsi"/>
          <w:sz w:val="22"/>
          <w:szCs w:val="22"/>
          <w:lang w:val="nl-NL"/>
        </w:rPr>
        <w:t xml:space="preserve"> Dit zijn over het algemeen omstandigheden waarin de onafhankelijkheid en/of objectiviteit van een interne auditor is aangetast, of een interne auditor wordt geconfronteerd met onbetrouwbare gegevens, een gebrek aan informatie, een beperking van de reikwijdte of andere beperkingen. In dergelijke gevallen dient de interne auditor de beginselen, gedragsregels of standaarden aan te geven waarmee volledige naleving niet is bereikt en dient hij/zij vast te stellen of de niet-naleving de opdrachtresultaten beïnvloedt. Indien de niet-naleving de resultaten </w:t>
      </w:r>
      <w:r w:rsidRPr="00410AB9">
        <w:rPr>
          <w:rFonts w:asciiTheme="minorHAnsi" w:hAnsiTheme="minorHAnsi" w:cstheme="minorHAnsi"/>
          <w:i/>
          <w:iCs/>
          <w:sz w:val="22"/>
          <w:szCs w:val="22"/>
          <w:lang w:val="nl-NL"/>
        </w:rPr>
        <w:t>wel</w:t>
      </w:r>
      <w:r w:rsidRPr="00410AB9">
        <w:rPr>
          <w:rFonts w:asciiTheme="minorHAnsi" w:hAnsiTheme="minorHAnsi" w:cstheme="minorHAnsi"/>
          <w:sz w:val="22"/>
          <w:szCs w:val="22"/>
          <w:lang w:val="nl-NL"/>
        </w:rPr>
        <w:t xml:space="preserve"> beïnvloedt, wordt in de opdrachtcommunicatie beschreven waarom de niet-</w:t>
      </w:r>
      <w:r w:rsidRPr="00410AB9">
        <w:rPr>
          <w:rFonts w:asciiTheme="minorHAnsi" w:hAnsiTheme="minorHAnsi" w:cstheme="minorHAnsi"/>
          <w:sz w:val="22"/>
          <w:szCs w:val="22"/>
          <w:lang w:val="nl-NL"/>
        </w:rPr>
        <w:lastRenderedPageBreak/>
        <w:t>naleving zich voordeed en hoe de resultaten en communicaties zijn beïnvloed.</w:t>
      </w:r>
    </w:p>
    <w:p w:rsidR="007C571F" w:rsidRPr="00410AB9" w:rsidRDefault="007C571F" w:rsidP="007C571F">
      <w:pPr>
        <w:pStyle w:val="TemplateBodyText"/>
        <w:rPr>
          <w:rFonts w:asciiTheme="minorHAnsi" w:hAnsiTheme="minorHAnsi" w:cstheme="minorHAnsi"/>
          <w:sz w:val="22"/>
          <w:szCs w:val="22"/>
          <w:lang w:val="nl-NL"/>
        </w:rPr>
      </w:pPr>
      <w:r w:rsidRPr="00410AB9">
        <w:rPr>
          <w:rFonts w:asciiTheme="minorHAnsi" w:hAnsiTheme="minorHAnsi" w:cstheme="minorHAnsi"/>
          <w:sz w:val="22"/>
          <w:szCs w:val="22"/>
          <w:lang w:val="nl-NL"/>
        </w:rPr>
        <w:t>Het kan nuttig zijn om verschillende scenario's te overwegen waarin Standaard 2431 zou gelden:</w:t>
      </w:r>
    </w:p>
    <w:p w:rsidR="007C571F" w:rsidRPr="00410AB9" w:rsidRDefault="007C571F" w:rsidP="007C571F">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10AB9">
        <w:rPr>
          <w:rFonts w:asciiTheme="minorHAnsi" w:hAnsiTheme="minorHAnsi" w:cstheme="minorHAnsi"/>
          <w:sz w:val="22"/>
          <w:szCs w:val="22"/>
          <w:lang w:val="nl-NL"/>
        </w:rPr>
        <w:t xml:space="preserve">In een situatie waarin een aantasting van de objectiviteit of onafhankelijkheid van een interne auditor invloed blijkt te hebben op de resultaten van de opdracht moet in de communicatie van de resultaten staan dat niet is voldaan aan Standaard 1120 – Individuele objectiviteit en het beginsel van objectiviteit van de Gedragscode. </w:t>
      </w:r>
    </w:p>
    <w:p w:rsidR="007C571F" w:rsidRPr="00410AB9" w:rsidRDefault="007C571F" w:rsidP="007C571F">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10AB9">
        <w:rPr>
          <w:rFonts w:asciiTheme="minorHAnsi" w:hAnsiTheme="minorHAnsi" w:cstheme="minorHAnsi"/>
          <w:sz w:val="22"/>
          <w:szCs w:val="22"/>
          <w:lang w:val="nl-NL"/>
        </w:rPr>
        <w:t xml:space="preserve">In een situatie waarin de internal auditfunctie een opdracht op zich heeft genomen waarvoor zij niet over de collectieve kennis, bekwaamheden en ervaring beschikt die nodig is om haar verantwoordelijkheden te vervullen, moet in de communicatie van de resultaten worden vermeld dat niet is voldaan aan Standaard 1210 – Vakbekwaamheid en het beginsel van competentie van de Gedragscode. </w:t>
      </w:r>
    </w:p>
    <w:p w:rsidR="007C571F" w:rsidRPr="00410AB9" w:rsidRDefault="007C571F" w:rsidP="007C571F">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10AB9">
        <w:rPr>
          <w:rFonts w:asciiTheme="minorHAnsi" w:hAnsiTheme="minorHAnsi" w:cstheme="minorHAnsi"/>
          <w:sz w:val="22"/>
          <w:szCs w:val="22"/>
          <w:lang w:val="nl-NL"/>
        </w:rPr>
        <w:t xml:space="preserve">Indien de internal auditfunctie wordt geconfronteerd met beperkingen van haar mogelijkheden om toegang te krijgen tot bescheiden, personeel of fysieke eigendommen, en deze beperkingen invloed hebben op de reikwijdte van de opdracht, dan moet in de communicatie van de resultaten worden vermeld dat niet is voldaan aan Standaard 2220.A1. </w:t>
      </w:r>
    </w:p>
    <w:p w:rsidR="007C571F" w:rsidRPr="00410AB9" w:rsidRDefault="007C571F" w:rsidP="007C571F">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10AB9">
        <w:rPr>
          <w:rFonts w:asciiTheme="minorHAnsi" w:hAnsiTheme="minorHAnsi" w:cstheme="minorHAnsi"/>
          <w:sz w:val="22"/>
          <w:szCs w:val="22"/>
          <w:lang w:val="nl-NL"/>
        </w:rPr>
        <w:t>Indien de internal auditmiddelen ontoereikend zijn om opdrachtdoelstellingen te bereiken, dan moet in de communicatie worden vermeld dat niet is voldaan aan Standaard 2230 – Toekenning van middelen aan de opdracht.</w:t>
      </w:r>
    </w:p>
    <w:p w:rsidR="007C571F" w:rsidRPr="00410AB9" w:rsidRDefault="007C571F" w:rsidP="007C571F">
      <w:pPr>
        <w:pStyle w:val="TemplateBodyText"/>
        <w:rPr>
          <w:rFonts w:asciiTheme="minorHAnsi" w:hAnsiTheme="minorHAnsi" w:cstheme="minorHAnsi"/>
          <w:sz w:val="22"/>
          <w:szCs w:val="22"/>
          <w:lang w:val="nl-NL"/>
        </w:rPr>
      </w:pPr>
      <w:r w:rsidRPr="00410AB9">
        <w:rPr>
          <w:rFonts w:asciiTheme="minorHAnsi" w:hAnsiTheme="minorHAnsi" w:cstheme="minorHAnsi"/>
          <w:sz w:val="22"/>
          <w:szCs w:val="22"/>
          <w:lang w:val="nl-NL"/>
        </w:rPr>
        <w:t>Meldingen van deze aard worden doorgaans gedocumenteerd in opdrachtwerkdocumenten. Het is belangrijk dat de CAE overweegt of de situaties van niet-naleving het vermogen van de internal auditfunctie beïnvloeden om haar professionele verantwoordelijkheden en/of de verwachtingen van aandeelhouders te vervullen. Vervolgens zou de CAE bepalen of en hoe deze kwesties worden gecommuniceerd aan het senior management en het bestuur. De meldingen worden vaak behandeld in een bespreking met het senior management en worden tijdens een vergadering aan het bestuur meegedeeld. De CAE kan niet-naleving van tevoren bespreken tijdens een privé-vergadering met het bestuur, een één-op-één vergadering met de voorzitter of met behulp van een andere geschikte methode. Om de volledige bekendmaking te waarborgen, dient de CAE ook te overwegen of de niet-naleving in de definitieve opdrachtcommunicatie moet worden opgenomen.</w:t>
      </w:r>
    </w:p>
    <w:p w:rsidR="002F57B5" w:rsidRPr="00410AB9" w:rsidRDefault="002F57B5" w:rsidP="002F57B5">
      <w:pPr>
        <w:pStyle w:val="TemplateHeadline"/>
        <w:rPr>
          <w:rFonts w:asciiTheme="minorHAnsi" w:hAnsiTheme="minorHAnsi" w:cstheme="minorHAnsi"/>
          <w:color w:val="000000"/>
          <w:sz w:val="22"/>
          <w:szCs w:val="22"/>
        </w:rPr>
      </w:pPr>
    </w:p>
    <w:p w:rsidR="00FE4706" w:rsidRPr="00410AB9" w:rsidRDefault="00685768" w:rsidP="002F57B5">
      <w:pPr>
        <w:pStyle w:val="TemplateHeadline"/>
        <w:rPr>
          <w:rFonts w:asciiTheme="minorHAnsi" w:hAnsiTheme="minorHAnsi" w:cstheme="minorHAnsi"/>
          <w:lang w:val="nl-NL"/>
        </w:rPr>
      </w:pPr>
      <w:r w:rsidRPr="00410AB9">
        <w:rPr>
          <w:rFonts w:asciiTheme="minorHAnsi" w:hAnsiTheme="minorHAnsi" w:cstheme="minorHAnsi"/>
          <w:lang w:val="nl-NL"/>
        </w:rPr>
        <w:t>Overwegingen b</w:t>
      </w:r>
      <w:r w:rsidR="002F57B5" w:rsidRPr="00410AB9">
        <w:rPr>
          <w:rFonts w:asciiTheme="minorHAnsi" w:hAnsiTheme="minorHAnsi" w:cstheme="minorHAnsi"/>
          <w:lang w:val="nl-NL"/>
        </w:rPr>
        <w:t>ij het aantonen van de naleving</w:t>
      </w:r>
    </w:p>
    <w:p w:rsidR="007C571F" w:rsidRPr="00410AB9" w:rsidRDefault="007C571F" w:rsidP="007C571F">
      <w:pPr>
        <w:pStyle w:val="TemplateBodyText"/>
        <w:rPr>
          <w:rFonts w:asciiTheme="minorHAnsi" w:hAnsiTheme="minorHAnsi" w:cstheme="minorHAnsi"/>
          <w:sz w:val="22"/>
          <w:szCs w:val="22"/>
          <w:lang w:val="nl-NL"/>
        </w:rPr>
      </w:pPr>
      <w:r w:rsidRPr="00410AB9">
        <w:rPr>
          <w:rFonts w:asciiTheme="minorHAnsi" w:hAnsiTheme="minorHAnsi" w:cstheme="minorHAnsi"/>
          <w:sz w:val="22"/>
          <w:szCs w:val="22"/>
          <w:lang w:val="nl-NL"/>
        </w:rPr>
        <w:lastRenderedPageBreak/>
        <w:t>Materialen die naleving van Standaard 2431 kunnen aantonen, zijn:</w:t>
      </w:r>
    </w:p>
    <w:p w:rsidR="007C571F" w:rsidRPr="00410AB9" w:rsidRDefault="007C571F" w:rsidP="007C571F">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10AB9">
        <w:rPr>
          <w:rFonts w:asciiTheme="minorHAnsi" w:hAnsiTheme="minorHAnsi" w:cstheme="minorHAnsi"/>
          <w:sz w:val="22"/>
          <w:szCs w:val="22"/>
          <w:lang w:val="nl-NL"/>
        </w:rPr>
        <w:t xml:space="preserve">Schriftelijke beleidsregels en -procedures voor het melden van niet-naleving van de Gedragscode en/of de </w:t>
      </w:r>
      <w:r w:rsidRPr="00410AB9">
        <w:rPr>
          <w:rFonts w:asciiTheme="minorHAnsi" w:hAnsiTheme="minorHAnsi" w:cstheme="minorHAnsi"/>
          <w:i/>
          <w:iCs/>
          <w:sz w:val="22"/>
          <w:szCs w:val="22"/>
          <w:lang w:val="nl-NL"/>
        </w:rPr>
        <w:t>Standaarden</w:t>
      </w:r>
      <w:r w:rsidRPr="00410AB9">
        <w:rPr>
          <w:rFonts w:asciiTheme="minorHAnsi" w:hAnsiTheme="minorHAnsi" w:cstheme="minorHAnsi"/>
          <w:sz w:val="22"/>
          <w:szCs w:val="22"/>
          <w:lang w:val="nl-NL"/>
        </w:rPr>
        <w:t xml:space="preserve"> in de opdrachtwerkdocumenten. </w:t>
      </w:r>
    </w:p>
    <w:p w:rsidR="007C571F" w:rsidRPr="00410AB9" w:rsidRDefault="007C571F" w:rsidP="007C571F">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10AB9">
        <w:rPr>
          <w:rFonts w:asciiTheme="minorHAnsi" w:hAnsiTheme="minorHAnsi" w:cstheme="minorHAnsi"/>
          <w:sz w:val="22"/>
          <w:szCs w:val="22"/>
          <w:lang w:val="nl-NL"/>
        </w:rPr>
        <w:t xml:space="preserve">Memo's, e-mails of andere schriftelijke communicatie die aangeven welke ethische beginselen of gedragsregels van de Gedragscode en de standaarden niet zijn nageleefd; de reden(en) voor niet-naleving verklaren; de gevolgen van niet-naleving voor de opdracht en de gecommuniceerde opdrachtresultaten beschrijven. </w:t>
      </w:r>
    </w:p>
    <w:p w:rsidR="007C571F" w:rsidRPr="00410AB9" w:rsidRDefault="007C571F" w:rsidP="007C571F">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10AB9">
        <w:rPr>
          <w:rFonts w:asciiTheme="minorHAnsi" w:hAnsiTheme="minorHAnsi" w:cstheme="minorHAnsi"/>
          <w:sz w:val="22"/>
          <w:szCs w:val="22"/>
          <w:lang w:val="nl-NL"/>
        </w:rPr>
        <w:t>Notulen van vergaderingen of andere documenten die mondelinge melding van de niet-naleving, reden(en) voor niet-naleving en de invloed van niet-naleving op de opdracht en de gecommuniceerde opdrachtresultaten documenteren.</w:t>
      </w:r>
    </w:p>
    <w:p w:rsidR="00410AB9" w:rsidRDefault="00410AB9" w:rsidP="00410AB9">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10AB9">
        <w:rPr>
          <w:rFonts w:asciiTheme="minorHAnsi" w:hAnsiTheme="minorHAnsi" w:cstheme="minorHAnsi"/>
          <w:sz w:val="22"/>
          <w:szCs w:val="22"/>
          <w:lang w:val="nl-NL"/>
        </w:rPr>
        <w:t>Bewijs van melding in de definitieve opdrachtcommunicatie.</w:t>
      </w:r>
    </w:p>
    <w:p w:rsidR="00410AB9" w:rsidRPr="00410AB9" w:rsidRDefault="00410AB9" w:rsidP="00410AB9">
      <w:pPr>
        <w:pStyle w:val="RedBullets"/>
        <w:numPr>
          <w:ilvl w:val="0"/>
          <w:numId w:val="0"/>
        </w:numPr>
        <w:tabs>
          <w:tab w:val="left" w:pos="4320"/>
        </w:tabs>
        <w:suppressAutoHyphens w:val="0"/>
        <w:spacing w:after="180" w:line="360" w:lineRule="atLeast"/>
        <w:ind w:left="994"/>
        <w:contextualSpacing/>
        <w:rPr>
          <w:rFonts w:asciiTheme="minorHAnsi" w:hAnsiTheme="minorHAnsi" w:cstheme="minorHAnsi"/>
          <w:sz w:val="22"/>
          <w:szCs w:val="22"/>
          <w:lang w:val="nl-NL"/>
        </w:rPr>
      </w:pPr>
      <w:r w:rsidRPr="00410AB9">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3848100</wp:posOffset>
                </wp:positionV>
                <wp:extent cx="6400800" cy="51625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62550"/>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left:0;text-align:left;margin-left:452.8pt;margin-top:303pt;width:7in;height:406.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p>
    <w:sectPr w:rsidR="00410AB9" w:rsidRPr="00410AB9"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410AB9">
      <w:rPr>
        <w:rStyle w:val="Paginanummer"/>
        <w:noProof/>
        <w:color w:val="535953"/>
        <w:sz w:val="16"/>
        <w:szCs w:val="16"/>
      </w:rPr>
      <w:t>2</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410AB9">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410AB9">
                            <w:rPr>
                              <w:rFonts w:ascii="Arial" w:hAnsi="Arial" w:cs="Arial"/>
                              <w:color w:val="0F1F4B"/>
                              <w:lang w:val="nl-NL"/>
                            </w:rPr>
                            <w:t>2431 -</w:t>
                          </w:r>
                          <w:r w:rsidR="00C747C1" w:rsidRPr="00C747C1">
                            <w:rPr>
                              <w:rFonts w:ascii="Arial" w:hAnsi="Arial" w:cs="Arial"/>
                              <w:color w:val="0F1F4B"/>
                              <w:lang w:val="nl-NL"/>
                            </w:rPr>
                            <w:t xml:space="preserve"> Kennisgeving over niet-naleving tijdens de opdracht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410AB9">
                      <w:rPr>
                        <w:rFonts w:ascii="Arial" w:hAnsi="Arial" w:cs="Arial"/>
                        <w:color w:val="0F1F4B"/>
                        <w:lang w:val="nl-NL"/>
                      </w:rPr>
                      <w:t>2431 -</w:t>
                    </w:r>
                    <w:r w:rsidR="00C747C1" w:rsidRPr="00C747C1">
                      <w:rPr>
                        <w:rFonts w:ascii="Arial" w:hAnsi="Arial" w:cs="Arial"/>
                        <w:color w:val="0F1F4B"/>
                        <w:lang w:val="nl-NL"/>
                      </w:rPr>
                      <w:t xml:space="preserve"> Kennisgeving over niet-naleving tijdens de opdracht</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abstractNum w:abstractNumId="5" w15:restartNumberingAfterBreak="0">
    <w:nsid w:val="71330DDE"/>
    <w:multiLevelType w:val="hybridMultilevel"/>
    <w:tmpl w:val="48DEFCD2"/>
    <w:lvl w:ilvl="0" w:tplc="BFE67FD6">
      <w:start w:val="1"/>
      <w:numFmt w:val="decimal"/>
      <w:lvlText w:val="%1."/>
      <w:lvlJc w:val="left"/>
      <w:pPr>
        <w:ind w:left="994" w:hanging="360"/>
      </w:pPr>
      <w:rPr>
        <w:rFonts w:hint="default"/>
        <w:color w:val="D32E30" w:themeColor="accent2"/>
      </w:rPr>
    </w:lvl>
    <w:lvl w:ilvl="1" w:tplc="B7D85B9E">
      <w:start w:val="1"/>
      <w:numFmt w:val="bullet"/>
      <w:lvlText w:val="o"/>
      <w:lvlJc w:val="left"/>
      <w:pPr>
        <w:ind w:left="1714" w:hanging="360"/>
      </w:pPr>
      <w:rPr>
        <w:rFonts w:ascii="Courier New" w:hAnsi="Courier New" w:hint="default"/>
      </w:rPr>
    </w:lvl>
    <w:lvl w:ilvl="2" w:tplc="3508E5AA" w:tentative="1">
      <w:start w:val="1"/>
      <w:numFmt w:val="bullet"/>
      <w:lvlText w:val=""/>
      <w:lvlJc w:val="left"/>
      <w:pPr>
        <w:ind w:left="2434" w:hanging="360"/>
      </w:pPr>
      <w:rPr>
        <w:rFonts w:ascii="Wingdings" w:hAnsi="Wingdings" w:hint="default"/>
      </w:rPr>
    </w:lvl>
    <w:lvl w:ilvl="3" w:tplc="6C7422AC" w:tentative="1">
      <w:start w:val="1"/>
      <w:numFmt w:val="bullet"/>
      <w:lvlText w:val=""/>
      <w:lvlJc w:val="left"/>
      <w:pPr>
        <w:ind w:left="3154" w:hanging="360"/>
      </w:pPr>
      <w:rPr>
        <w:rFonts w:ascii="Symbol" w:hAnsi="Symbol" w:hint="default"/>
      </w:rPr>
    </w:lvl>
    <w:lvl w:ilvl="4" w:tplc="879E4DD8" w:tentative="1">
      <w:start w:val="1"/>
      <w:numFmt w:val="bullet"/>
      <w:lvlText w:val="o"/>
      <w:lvlJc w:val="left"/>
      <w:pPr>
        <w:ind w:left="3874" w:hanging="360"/>
      </w:pPr>
      <w:rPr>
        <w:rFonts w:ascii="Courier New" w:hAnsi="Courier New" w:hint="default"/>
      </w:rPr>
    </w:lvl>
    <w:lvl w:ilvl="5" w:tplc="C6D437FA" w:tentative="1">
      <w:start w:val="1"/>
      <w:numFmt w:val="bullet"/>
      <w:lvlText w:val=""/>
      <w:lvlJc w:val="left"/>
      <w:pPr>
        <w:ind w:left="4594" w:hanging="360"/>
      </w:pPr>
      <w:rPr>
        <w:rFonts w:ascii="Wingdings" w:hAnsi="Wingdings" w:hint="default"/>
      </w:rPr>
    </w:lvl>
    <w:lvl w:ilvl="6" w:tplc="C6288172" w:tentative="1">
      <w:start w:val="1"/>
      <w:numFmt w:val="bullet"/>
      <w:lvlText w:val=""/>
      <w:lvlJc w:val="left"/>
      <w:pPr>
        <w:ind w:left="5314" w:hanging="360"/>
      </w:pPr>
      <w:rPr>
        <w:rFonts w:ascii="Symbol" w:hAnsi="Symbol" w:hint="default"/>
      </w:rPr>
    </w:lvl>
    <w:lvl w:ilvl="7" w:tplc="7576D568" w:tentative="1">
      <w:start w:val="1"/>
      <w:numFmt w:val="bullet"/>
      <w:lvlText w:val="o"/>
      <w:lvlJc w:val="left"/>
      <w:pPr>
        <w:ind w:left="6034" w:hanging="360"/>
      </w:pPr>
      <w:rPr>
        <w:rFonts w:ascii="Courier New" w:hAnsi="Courier New" w:hint="default"/>
      </w:rPr>
    </w:lvl>
    <w:lvl w:ilvl="8" w:tplc="ABB25AFA" w:tentative="1">
      <w:start w:val="1"/>
      <w:numFmt w:val="bullet"/>
      <w:lvlText w:val=""/>
      <w:lvlJc w:val="left"/>
      <w:pPr>
        <w:ind w:left="6754"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284E07"/>
    <w:rsid w:val="002F57B5"/>
    <w:rsid w:val="00410AB9"/>
    <w:rsid w:val="005C501B"/>
    <w:rsid w:val="00685768"/>
    <w:rsid w:val="007C571F"/>
    <w:rsid w:val="00963DFA"/>
    <w:rsid w:val="009C730B"/>
    <w:rsid w:val="00B9149D"/>
    <w:rsid w:val="00C6368B"/>
    <w:rsid w:val="00C747C1"/>
    <w:rsid w:val="00C84519"/>
    <w:rsid w:val="00D11289"/>
    <w:rsid w:val="00E269AE"/>
    <w:rsid w:val="00F51E56"/>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D11289"/>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B5B1B0-4C56-4D6D-A573-3924B49D8B8B}">
  <ds:schemaRefs>
    <ds:schemaRef ds:uri="http://schemas.openxmlformats.org/officeDocument/2006/bibliography"/>
  </ds:schemaRefs>
</ds:datastoreItem>
</file>

<file path=customXml/itemProps2.xml><?xml version="1.0" encoding="utf-8"?>
<ds:datastoreItem xmlns:ds="http://schemas.openxmlformats.org/officeDocument/2006/customXml" ds:itemID="{31706628-65FF-4BC0-85FA-EBEF7506EF67}"/>
</file>

<file path=customXml/itemProps3.xml><?xml version="1.0" encoding="utf-8"?>
<ds:datastoreItem xmlns:ds="http://schemas.openxmlformats.org/officeDocument/2006/customXml" ds:itemID="{64744EAD-F28F-4E3D-AE24-B36F0710967D}"/>
</file>

<file path=customXml/itemProps4.xml><?xml version="1.0" encoding="utf-8"?>
<ds:datastoreItem xmlns:ds="http://schemas.openxmlformats.org/officeDocument/2006/customXml" ds:itemID="{247DEDDC-5FCF-4099-A644-138E1F85362C}"/>
</file>

<file path=docProps/app.xml><?xml version="1.0" encoding="utf-8"?>
<Properties xmlns="http://schemas.openxmlformats.org/officeDocument/2006/extended-properties" xmlns:vt="http://schemas.openxmlformats.org/officeDocument/2006/docPropsVTypes">
  <Template>5D9AB15C</Template>
  <TotalTime>5</TotalTime>
  <Pages>5</Pages>
  <Words>926</Words>
  <Characters>5094</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7</cp:revision>
  <dcterms:created xsi:type="dcterms:W3CDTF">2017-08-21T11:35:00Z</dcterms:created>
  <dcterms:modified xsi:type="dcterms:W3CDTF">2017-08-21T14:13:00Z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