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96FB2" w:rsidRPr="005570DB" w:rsidRDefault="005570DB" w:rsidP="00FF046F">
      <w:pPr>
        <w:pStyle w:val="Geenafstand"/>
        <w:rPr>
          <w:rFonts w:cstheme="minorHAnsi"/>
          <w:lang w:val="nl-NL"/>
        </w:rPr>
      </w:pPr>
      <w:r w:rsidRPr="005570DB">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margin">
                  <wp:align>top</wp:align>
                </wp:positionV>
                <wp:extent cx="4343400" cy="10477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04775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C17D83">
                              <w:rPr>
                                <w:color w:val="FFFFFF" w:themeColor="background1"/>
                                <w:sz w:val="50"/>
                                <w:szCs w:val="50"/>
                                <w:lang w:val="nl-NL"/>
                                <w14:textOutline w14:w="9525" w14:cap="flat" w14:cmpd="sng" w14:algn="ctr">
                                  <w14:noFill/>
                                  <w14:prstDash w14:val="solid"/>
                                  <w14:round/>
                                </w14:textOutline>
                              </w:rPr>
                              <w:t>2000</w:t>
                            </w:r>
                          </w:p>
                        </w:txbxContent>
                      </wps:txbx>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EC44BA1" id="_x0000_t202" coordsize="21600,21600" o:spt="202" path="m,l,21600r21600,l21600,xe">
                <v:stroke joinstyle="miter"/>
                <v:path gradientshapeok="t" o:connecttype="rect"/>
              </v:shapetype>
              <v:shape id="Text Box 6" o:spid="_x0000_s1026" type="#_x0000_t202" style="position:absolute;margin-left:191.25pt;margin-top:0;width:342pt;height:82.5pt;z-index:251662336;visibility:visible;mso-wrap-style:square;mso-height-percent:0;mso-wrap-distance-left:9pt;mso-wrap-distance-top:0;mso-wrap-distance-right:9pt;mso-wrap-distance-bottom:0;mso-position-horizontal:absolute;mso-position-horizontal-relative:page;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zIkwIAAGsFAAAOAAAAZHJzL2Uyb0RvYy54bWysVEtPGzEQvlfqf7B8D7tJ84CIDVqC0gsC&#10;1FBxNl6brGp7XNvJblrx3zv2ZgOlvVBVkRzvvDzzzTdzftFqRXbC+RpMQYcnOSXCcKhq81TQr/er&#10;wSklPjBTMQVGFHQvPL1YfPxw3ti5GMEGVCUcwSDGzxtb0E0Idp5lnm+EZv4ErDColOA0C/jpnrLK&#10;sQaja5WN8nyaNeAq64AL71F61SnpIsWXUvBwK6UXgaiCYm4hnS6dj/HMFuds/uSY3dT8kAb7hyw0&#10;qw0+egx1xQIjW1f/EUrX3IEHGU446AykrLlINWA1w/xNNesNsyLVguB4e4TJ/7+w/GZ350hdFXRK&#10;iWEaW3Qv2kAuoSXTiE5j/RyN1hbNQoti7HIv9yiMRbfS6fiP5RDUI877I7YxGEfh+BP+clRx1A3z&#10;8Ww2SehnL+7W+fBZgCbxUlCHzUuYst21D5gKmvYm8TUDq1qp1EBlfhOgYSfBx9E16mIaqR8/l5PZ&#10;qJxNzgbTcjIcjIf56aAs89HgalXmZT5eLc/Gl8+xQozS+2cRha7adAt7JWJUZb4IieiloqMg8VYs&#10;lSM7hoxjnAsTEl4pJ7SOVhLzfo/jwT7VkTj9HmfRe6SXwYSjs64NuITwm7Srb33KsrNHMF7VHa+h&#10;fWwTbY5keIRqjxxx0M2Yt3xVYx+vmQ93zOFQYe9xUYRbPKSCpqBwuFGyAffjb/Joj1xHLSUNDmlB&#10;/fctcwKputVLQISHuF4sT1eM74Lqr9KBfsDdUMYIqGKGY5yC8uD6j2XoFgFuFy7KMpnhVFoWrs3a&#10;8hg8YhY5d98+MGcPxAxIixvoh5PN3/Czs42eBsptAFkn8kbUOowOaOJEJ5Idtk9cGa+/k9XLjlz8&#10;AgAA//8DAFBLAwQUAAYACAAAACEAdzuZGd0AAAAJAQAADwAAAGRycy9kb3ducmV2LnhtbEyPwU7D&#10;MBBE70j8g7VIXBC1KaqpQpwKIVVCFRwofMAmduOo8TqK3TT8PdsT3HY0o9k35WYOvZjcmLpIBh4W&#10;CoSjJtqOWgPfX9v7NYiUkSz2kZyBH5dgU11flVjYeKZPN+1zK7iEUoEGfM5DIWVqvAuYFnFwxN4h&#10;jgEzy7GVdsQzl4deLpXSMmBH/MHj4F69a477UzBw5wf18X54q7dWN/64S/gUpp0xtzfzyzOI7Ob8&#10;F4YLPqNDxUx1PJFNojfwuF6uOGqAF11spTXrmi+9UiCrUv5fUP0CAAD//wMAUEsBAi0AFAAGAAgA&#10;AAAhALaDOJL+AAAA4QEAABMAAAAAAAAAAAAAAAAAAAAAAFtDb250ZW50X1R5cGVzXS54bWxQSwEC&#10;LQAUAAYACAAAACEAOP0h/9YAAACUAQAACwAAAAAAAAAAAAAAAAAvAQAAX3JlbHMvLnJlbHNQSwEC&#10;LQAUAAYACAAAACEAGnb8yJMCAABrBQAADgAAAAAAAAAAAAAAAAAuAgAAZHJzL2Uyb0RvYy54bWxQ&#10;SwECLQAUAAYACAAAACEAdzuZGd0AAAAJAQAADwAAAAAAAAAAAAAAAADtBAAAZHJzL2Rvd25yZXYu&#10;eG1sUEsFBgAAAAAEAAQA8wAAAPcFAAAAAA==&#10;" filled="f" stroked="f">
                <v:textbox>
                  <w:txbxContent>
                    <w:p w:rsidR="002F57B5" w:rsidRPr="00E6381B" w:rsidRDefault="00665553"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 xml:space="preserve">Implementatierichtlijn </w:t>
                      </w:r>
                      <w:r w:rsidR="00C17D83">
                        <w:rPr>
                          <w:color w:val="FFFFFF" w:themeColor="background1"/>
                          <w:sz w:val="50"/>
                          <w:szCs w:val="50"/>
                          <w:lang w:val="nl-NL"/>
                          <w14:textOutline w14:w="9525" w14:cap="flat" w14:cmpd="sng" w14:algn="ctr">
                            <w14:noFill/>
                            <w14:prstDash w14:val="solid"/>
                            <w14:round/>
                          </w14:textOutline>
                        </w:rPr>
                        <w:t>2000</w:t>
                      </w:r>
                    </w:p>
                  </w:txbxContent>
                </v:textbox>
                <w10:wrap type="square" anchorx="page" anchory="margin"/>
              </v:shape>
            </w:pict>
          </mc:Fallback>
        </mc:AlternateContent>
      </w:r>
      <w:r w:rsidRPr="005570DB">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left</wp:align>
                </wp:positionH>
                <wp:positionV relativeFrom="margin">
                  <wp:posOffset>1495425</wp:posOffset>
                </wp:positionV>
                <wp:extent cx="6381750" cy="60579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381750" cy="6057900"/>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B96FB2" w:rsidRDefault="00665553" w:rsidP="002F57B5">
                            <w:pPr>
                              <w:pStyle w:val="TemplateHeadline"/>
                              <w:rPr>
                                <w:rFonts w:asciiTheme="majorHAnsi" w:hAnsiTheme="majorHAnsi" w:cstheme="majorHAnsi"/>
                                <w:lang w:val="nl-NL"/>
                              </w:rPr>
                            </w:pPr>
                            <w:r w:rsidRPr="00B96FB2">
                              <w:rPr>
                                <w:rFonts w:asciiTheme="majorHAnsi" w:hAnsiTheme="majorHAnsi" w:cstheme="majorHAnsi"/>
                                <w:lang w:val="nl-NL"/>
                              </w:rPr>
                              <w:t xml:space="preserve">Standaard </w:t>
                            </w:r>
                            <w:r w:rsidR="00C17D83" w:rsidRPr="00B96FB2">
                              <w:rPr>
                                <w:rFonts w:asciiTheme="majorHAnsi" w:hAnsiTheme="majorHAnsi" w:cstheme="majorHAnsi"/>
                                <w:lang w:val="nl-NL"/>
                              </w:rPr>
                              <w:t>2000 – Management van de internal-auditfunctie</w:t>
                            </w:r>
                          </w:p>
                          <w:p w:rsidR="00C17D83" w:rsidRPr="005570DB" w:rsidRDefault="00C17D83" w:rsidP="00C17D83">
                            <w:pPr>
                              <w:pStyle w:val="RedBullets"/>
                              <w:numPr>
                                <w:ilvl w:val="0"/>
                                <w:numId w:val="0"/>
                              </w:numPr>
                              <w:rPr>
                                <w:rFonts w:asciiTheme="majorHAnsi" w:hAnsiTheme="majorHAnsi" w:cstheme="majorHAnsi"/>
                                <w:sz w:val="22"/>
                                <w:szCs w:val="22"/>
                                <w:lang w:val="nl-NL"/>
                              </w:rPr>
                            </w:pPr>
                            <w:r w:rsidRPr="005570DB">
                              <w:rPr>
                                <w:rFonts w:asciiTheme="majorHAnsi" w:hAnsiTheme="majorHAnsi" w:cstheme="majorHAnsi"/>
                                <w:sz w:val="22"/>
                                <w:szCs w:val="22"/>
                                <w:lang w:val="nl-NL"/>
                              </w:rPr>
                              <w:t>Het hoofd van de internal-auditfunctie moet de internal-auditfunctie doeltreffend besturen, zodat deze meerwaarde biedt aan de organisatie.</w:t>
                            </w:r>
                          </w:p>
                          <w:p w:rsidR="00C17D83" w:rsidRPr="005570DB" w:rsidRDefault="00C17D83" w:rsidP="00C17D83">
                            <w:pPr>
                              <w:pStyle w:val="RedBullets"/>
                              <w:numPr>
                                <w:ilvl w:val="0"/>
                                <w:numId w:val="0"/>
                              </w:numPr>
                              <w:rPr>
                                <w:rFonts w:asciiTheme="majorHAnsi" w:hAnsiTheme="majorHAnsi" w:cstheme="majorHAnsi"/>
                                <w:sz w:val="22"/>
                                <w:szCs w:val="22"/>
                                <w:lang w:val="nl-NL"/>
                              </w:rPr>
                            </w:pPr>
                          </w:p>
                          <w:p w:rsidR="00C17D83" w:rsidRDefault="00C17D83" w:rsidP="00C17D83">
                            <w:pPr>
                              <w:pStyle w:val="RedBullets"/>
                              <w:numPr>
                                <w:ilvl w:val="0"/>
                                <w:numId w:val="0"/>
                              </w:numPr>
                              <w:ind w:left="360" w:hanging="360"/>
                              <w:rPr>
                                <w:rFonts w:asciiTheme="majorHAnsi" w:hAnsiTheme="majorHAnsi" w:cstheme="majorHAnsi"/>
                                <w:sz w:val="22"/>
                                <w:szCs w:val="22"/>
                                <w:lang w:val="nl-NL"/>
                              </w:rPr>
                            </w:pPr>
                            <w:r w:rsidRPr="005570DB">
                              <w:rPr>
                                <w:rFonts w:asciiTheme="majorHAnsi" w:hAnsiTheme="majorHAnsi" w:cstheme="majorHAnsi"/>
                                <w:b/>
                                <w:sz w:val="22"/>
                                <w:szCs w:val="22"/>
                                <w:lang w:val="nl-NL"/>
                              </w:rPr>
                              <w:t>Interpretatie</w:t>
                            </w:r>
                            <w:r w:rsidRPr="005570DB">
                              <w:rPr>
                                <w:rFonts w:asciiTheme="majorHAnsi" w:hAnsiTheme="majorHAnsi" w:cstheme="majorHAnsi"/>
                                <w:sz w:val="22"/>
                                <w:szCs w:val="22"/>
                                <w:lang w:val="nl-NL"/>
                              </w:rPr>
                              <w:t>:</w:t>
                            </w:r>
                          </w:p>
                          <w:p w:rsidR="005570DB" w:rsidRPr="005570DB" w:rsidRDefault="005570DB" w:rsidP="00C17D83">
                            <w:pPr>
                              <w:pStyle w:val="RedBullets"/>
                              <w:numPr>
                                <w:ilvl w:val="0"/>
                                <w:numId w:val="0"/>
                              </w:numPr>
                              <w:ind w:left="360" w:hanging="360"/>
                              <w:rPr>
                                <w:rFonts w:asciiTheme="majorHAnsi" w:hAnsiTheme="majorHAnsi" w:cstheme="majorHAnsi"/>
                                <w:sz w:val="22"/>
                                <w:szCs w:val="22"/>
                                <w:lang w:val="nl-NL"/>
                              </w:rPr>
                            </w:pPr>
                          </w:p>
                          <w:p w:rsidR="00665553" w:rsidRPr="005570DB" w:rsidRDefault="00C17D83" w:rsidP="00C17D83">
                            <w:pPr>
                              <w:pStyle w:val="RedBullets"/>
                              <w:numPr>
                                <w:ilvl w:val="0"/>
                                <w:numId w:val="0"/>
                              </w:numPr>
                              <w:rPr>
                                <w:rFonts w:asciiTheme="majorHAnsi" w:hAnsiTheme="majorHAnsi" w:cstheme="majorHAnsi"/>
                                <w:sz w:val="22"/>
                                <w:szCs w:val="22"/>
                                <w:lang w:val="nl-NL"/>
                              </w:rPr>
                            </w:pPr>
                            <w:r w:rsidRPr="005570DB">
                              <w:rPr>
                                <w:rFonts w:asciiTheme="majorHAnsi" w:hAnsiTheme="majorHAnsi" w:cstheme="majorHAnsi"/>
                                <w:sz w:val="22"/>
                                <w:szCs w:val="22"/>
                                <w:lang w:val="nl-NL"/>
                              </w:rPr>
                              <w:t>De internal-auditfunctie wordt doeltreffend bestuurd wanneer:</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resultaten in overeenstemming zijn met het doel en de verantwoordelijkheid, zoals opgenomen in het internal-auditcharter;</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internal auditing voldoet aan de Standaarden;</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individuele teamleden de gedragscode en de Standaarden naleven;</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alle trends en opkomende kwesties worden overwogen, die effect zouden kunnen hebben op de organisatie;</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internal auditing door rekening te houden met strategieën, doelstellingen en risico's waarde toevoegt aan de organisatie en haar stakeholders;</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ernaar wordt gestreefd manieren te vinden om het bestuur, het risicomanagement en de controleprocedures te verbeteren;</w:t>
                            </w:r>
                          </w:p>
                          <w:p w:rsidR="002F57B5"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op objectieve wijze relevante zekerheid wordt geboden.</w:t>
                            </w:r>
                          </w:p>
                          <w:p w:rsidR="00C17D83" w:rsidRPr="005570DB" w:rsidRDefault="00C17D83" w:rsidP="002F57B5">
                            <w:pPr>
                              <w:pStyle w:val="RedBullets"/>
                              <w:numPr>
                                <w:ilvl w:val="0"/>
                                <w:numId w:val="0"/>
                              </w:numPr>
                              <w:rPr>
                                <w:rFonts w:asciiTheme="majorHAnsi" w:hAnsiTheme="majorHAnsi" w:cstheme="majorHAnsi"/>
                                <w:sz w:val="22"/>
                                <w:szCs w:val="22"/>
                                <w:lang w:val="nl-NL"/>
                              </w:rPr>
                            </w:pPr>
                          </w:p>
                          <w:p w:rsidR="00C17D83" w:rsidRPr="005570DB" w:rsidRDefault="00C17D83" w:rsidP="00C17D83">
                            <w:pPr>
                              <w:pStyle w:val="RedBullets"/>
                              <w:numPr>
                                <w:ilvl w:val="0"/>
                                <w:numId w:val="0"/>
                              </w:numPr>
                              <w:jc w:val="right"/>
                              <w:rPr>
                                <w:rFonts w:asciiTheme="majorHAnsi" w:hAnsiTheme="majorHAnsi" w:cstheme="majorHAnsi"/>
                                <w:sz w:val="22"/>
                                <w:szCs w:val="22"/>
                                <w:lang w:val="nl-NL"/>
                              </w:rPr>
                            </w:pPr>
                            <w:proofErr w:type="spellStart"/>
                            <w:r w:rsidRPr="005570DB">
                              <w:rPr>
                                <w:rFonts w:asciiTheme="majorHAnsi" w:hAnsiTheme="majorHAnsi" w:cstheme="majorHAnsi"/>
                                <w:sz w:val="22"/>
                                <w:szCs w:val="22"/>
                                <w:lang w:val="nl-NL"/>
                              </w:rPr>
                              <w:t>Herziene</w:t>
                            </w:r>
                            <w:proofErr w:type="spellEnd"/>
                            <w:r w:rsidRPr="005570DB">
                              <w:rPr>
                                <w:rFonts w:asciiTheme="majorHAnsi" w:hAnsiTheme="majorHAnsi" w:cstheme="majorHAnsi"/>
                                <w:sz w:val="22"/>
                                <w:szCs w:val="22"/>
                                <w:lang w:val="nl-NL"/>
                              </w:rPr>
                              <w:t xml:space="preserve"> </w:t>
                            </w:r>
                            <w:r w:rsidRPr="00403167">
                              <w:rPr>
                                <w:rFonts w:asciiTheme="majorHAnsi" w:hAnsiTheme="majorHAnsi" w:cstheme="majorHAnsi"/>
                                <w:i/>
                                <w:sz w:val="22"/>
                                <w:szCs w:val="22"/>
                                <w:lang w:val="nl-NL"/>
                              </w:rPr>
                              <w:t>Standaarden</w:t>
                            </w:r>
                            <w:r w:rsidRPr="005570DB">
                              <w:rPr>
                                <w:rFonts w:asciiTheme="majorHAnsi" w:hAnsiTheme="majorHAnsi"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7" type="#_x0000_t202" style="position:absolute;margin-left:0;margin-top:117.75pt;width:502.5pt;height:477pt;z-index:251658240;visibility:visible;mso-wrap-style:square;mso-width-percent:0;mso-height-percent:0;mso-wrap-distance-left:9pt;mso-wrap-distance-top:165.6pt;mso-wrap-distance-right:9pt;mso-wrap-distance-bottom:21.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d+7gIAACIGAAAOAAAAZHJzL2Uyb0RvYy54bWysVEtv2zAMvg/YfxB0d/1onDhBncJN4GFA&#10;1xZrh54VWU6MyZImKYmzYf99lBynj/XSYReb4pv8SF5cdi1HO6ZNI0WO47MIIyaorBqxzvG3hzLI&#10;MDKWiIpwKViOD8zgy/nHDxd7NWOJ3EheMY3AiTCzvcrxxlo1C0NDN6wl5kwqJkBYS90SC0+9DitN&#10;9uC95WESReNwL3WltKTMGOAueyGee/91zai9rWvDLOI5htys/2r/XblvOL8gs7UmatPQYxrkH7Jo&#10;SSMg6MnVkliCtrr5y1XbUC2NrO0ZlW0o67qhzNcA1cTRq2ruN0QxXws0x6hTm8z/c0tvdncaNVWO&#10;U4wEaQGiB9ZZdCU7lLru7JWZgdK9AjXbARtQHvgGmK7ortat+0M5COTQ58Opt84ZBeb4PIsnKYgo&#10;yMZROplGvvvhk7nSxn5iskWOyLEG8HxPye7aWEgFVAcVF81I3lRlw7l/uIFhC67RjgDUq3XsTfm2&#10;/SKrnpel0Smkny+n7r2+8MSF8yek89wH7TlQCKThZK4kj+2vsiiS8fJ8GSyz6SQYrVgSZGU0Cq6K&#10;URovJpMyXk5+9zP2ZLRIJ0kxSafBuEjjYBRHWVAUURIsyyIqolG5mI6uvBHUOwQNHQx9uz1lD5y5&#10;VLj4ymqAz3f9jT4QSpmwHjDw5rWdVg21vcfwqO+L90v1HmM2WPjIUtiTcdsIqT1OJzx6qKrvQ8p1&#10;rw8wPavbkbZbdX5uT9O4ktUBhlTLfsmNomUDg3RNjL0jGrYahg8ulb2FT83lPsfySGG0kfrnW3yn&#10;D8sGUoz2cCVybH5siWYY8c8C1jDOkixzd8W/ziMY8QQj/UK2eiET23YhYUJjuIuKehLsteUDWWvZ&#10;PsJRK1xkEBFBIX6O7UAubH+/4ChSVhReCY6JIvZa3CvqXLtOu1V56B6JVsd9sjBMN3K4KWT2aq16&#10;XWcpZLG1sm78zrle9509YgCHyC/N8Wi6S/f87bWeTvv8DwAAAP//AwBQSwMEFAAGAAgAAAAhAP54&#10;yerhAAAACgEAAA8AAABkcnMvZG93bnJldi54bWxMj0FPwzAMhe9I/IfISFwQS9ZRtJWmE5rEhQvb&#10;YNo1a0xb0ThVk3aFX493gpvt9/T8vXw9uVaM2IfGk4b5TIFAKr1tqNLw8f5yvwQRoiFrWk+o4RsD&#10;rIvrq9xk1p9ph+M+VoJDKGRGQx1jl0kZyhqdCTPfIbH26XtnIq99JW1vzhzuWpko9SidaYg/1KbD&#10;TY3l135wGqaDvNs0D+PxLXn9OQy77XG1pYXWtzfT8xOIiFP8M8MFn9GhYKaTH8gG0WrgIlFDskhT&#10;EBdZqZRPJ57my1UKssjl/wrFLwAAAP//AwBQSwECLQAUAAYACAAAACEAtoM4kv4AAADhAQAAEwAA&#10;AAAAAAAAAAAAAAAAAAAAW0NvbnRlbnRfVHlwZXNdLnhtbFBLAQItABQABgAIAAAAIQA4/SH/1gAA&#10;AJQBAAALAAAAAAAAAAAAAAAAAC8BAABfcmVscy8ucmVsc1BLAQItABQABgAIAAAAIQCMoud+7gIA&#10;ACIGAAAOAAAAAAAAAAAAAAAAAC4CAABkcnMvZTJvRG9jLnhtbFBLAQItABQABgAIAAAAIQD+eMnq&#10;4QAAAAoBAAAPAAAAAAAAAAAAAAAAAEgFAABkcnMvZG93bnJldi54bWxQSwUGAAAAAAQABADzAAAA&#10;VgYAAAAA&#10;" fillcolor="#d8d8d8 [2732]" stroked="f">
                <v:textbox inset="14.4pt,23.76pt,14.4pt,23.76pt">
                  <w:txbxContent>
                    <w:p w:rsidR="002F57B5" w:rsidRPr="00B96FB2" w:rsidRDefault="00665553" w:rsidP="002F57B5">
                      <w:pPr>
                        <w:pStyle w:val="TemplateHeadline"/>
                        <w:rPr>
                          <w:rFonts w:asciiTheme="majorHAnsi" w:hAnsiTheme="majorHAnsi" w:cstheme="majorHAnsi"/>
                          <w:lang w:val="nl-NL"/>
                        </w:rPr>
                      </w:pPr>
                      <w:r w:rsidRPr="00B96FB2">
                        <w:rPr>
                          <w:rFonts w:asciiTheme="majorHAnsi" w:hAnsiTheme="majorHAnsi" w:cstheme="majorHAnsi"/>
                          <w:lang w:val="nl-NL"/>
                        </w:rPr>
                        <w:t xml:space="preserve">Standaard </w:t>
                      </w:r>
                      <w:r w:rsidR="00C17D83" w:rsidRPr="00B96FB2">
                        <w:rPr>
                          <w:rFonts w:asciiTheme="majorHAnsi" w:hAnsiTheme="majorHAnsi" w:cstheme="majorHAnsi"/>
                          <w:lang w:val="nl-NL"/>
                        </w:rPr>
                        <w:t>2000 – Management van de internal-auditfunctie</w:t>
                      </w:r>
                    </w:p>
                    <w:p w:rsidR="00C17D83" w:rsidRPr="005570DB" w:rsidRDefault="00C17D83" w:rsidP="00C17D83">
                      <w:pPr>
                        <w:pStyle w:val="RedBullets"/>
                        <w:numPr>
                          <w:ilvl w:val="0"/>
                          <w:numId w:val="0"/>
                        </w:numPr>
                        <w:rPr>
                          <w:rFonts w:asciiTheme="majorHAnsi" w:hAnsiTheme="majorHAnsi" w:cstheme="majorHAnsi"/>
                          <w:sz w:val="22"/>
                          <w:szCs w:val="22"/>
                          <w:lang w:val="nl-NL"/>
                        </w:rPr>
                      </w:pPr>
                      <w:r w:rsidRPr="005570DB">
                        <w:rPr>
                          <w:rFonts w:asciiTheme="majorHAnsi" w:hAnsiTheme="majorHAnsi" w:cstheme="majorHAnsi"/>
                          <w:sz w:val="22"/>
                          <w:szCs w:val="22"/>
                          <w:lang w:val="nl-NL"/>
                        </w:rPr>
                        <w:t>Het hoofd van de internal-auditfunctie moet de internal-auditfunctie doeltreffend besturen, zodat deze meerwaarde biedt aan de organisatie.</w:t>
                      </w:r>
                    </w:p>
                    <w:p w:rsidR="00C17D83" w:rsidRPr="005570DB" w:rsidRDefault="00C17D83" w:rsidP="00C17D83">
                      <w:pPr>
                        <w:pStyle w:val="RedBullets"/>
                        <w:numPr>
                          <w:ilvl w:val="0"/>
                          <w:numId w:val="0"/>
                        </w:numPr>
                        <w:rPr>
                          <w:rFonts w:asciiTheme="majorHAnsi" w:hAnsiTheme="majorHAnsi" w:cstheme="majorHAnsi"/>
                          <w:sz w:val="22"/>
                          <w:szCs w:val="22"/>
                          <w:lang w:val="nl-NL"/>
                        </w:rPr>
                      </w:pPr>
                    </w:p>
                    <w:p w:rsidR="00C17D83" w:rsidRDefault="00C17D83" w:rsidP="00C17D83">
                      <w:pPr>
                        <w:pStyle w:val="RedBullets"/>
                        <w:numPr>
                          <w:ilvl w:val="0"/>
                          <w:numId w:val="0"/>
                        </w:numPr>
                        <w:ind w:left="360" w:hanging="360"/>
                        <w:rPr>
                          <w:rFonts w:asciiTheme="majorHAnsi" w:hAnsiTheme="majorHAnsi" w:cstheme="majorHAnsi"/>
                          <w:sz w:val="22"/>
                          <w:szCs w:val="22"/>
                          <w:lang w:val="nl-NL"/>
                        </w:rPr>
                      </w:pPr>
                      <w:r w:rsidRPr="005570DB">
                        <w:rPr>
                          <w:rFonts w:asciiTheme="majorHAnsi" w:hAnsiTheme="majorHAnsi" w:cstheme="majorHAnsi"/>
                          <w:b/>
                          <w:sz w:val="22"/>
                          <w:szCs w:val="22"/>
                          <w:lang w:val="nl-NL"/>
                        </w:rPr>
                        <w:t>Interpretatie</w:t>
                      </w:r>
                      <w:r w:rsidRPr="005570DB">
                        <w:rPr>
                          <w:rFonts w:asciiTheme="majorHAnsi" w:hAnsiTheme="majorHAnsi" w:cstheme="majorHAnsi"/>
                          <w:sz w:val="22"/>
                          <w:szCs w:val="22"/>
                          <w:lang w:val="nl-NL"/>
                        </w:rPr>
                        <w:t>:</w:t>
                      </w:r>
                    </w:p>
                    <w:p w:rsidR="005570DB" w:rsidRPr="005570DB" w:rsidRDefault="005570DB" w:rsidP="00C17D83">
                      <w:pPr>
                        <w:pStyle w:val="RedBullets"/>
                        <w:numPr>
                          <w:ilvl w:val="0"/>
                          <w:numId w:val="0"/>
                        </w:numPr>
                        <w:ind w:left="360" w:hanging="360"/>
                        <w:rPr>
                          <w:rFonts w:asciiTheme="majorHAnsi" w:hAnsiTheme="majorHAnsi" w:cstheme="majorHAnsi"/>
                          <w:sz w:val="22"/>
                          <w:szCs w:val="22"/>
                          <w:lang w:val="nl-NL"/>
                        </w:rPr>
                      </w:pPr>
                    </w:p>
                    <w:p w:rsidR="00665553" w:rsidRPr="005570DB" w:rsidRDefault="00C17D83" w:rsidP="00C17D83">
                      <w:pPr>
                        <w:pStyle w:val="RedBullets"/>
                        <w:numPr>
                          <w:ilvl w:val="0"/>
                          <w:numId w:val="0"/>
                        </w:numPr>
                        <w:rPr>
                          <w:rFonts w:asciiTheme="majorHAnsi" w:hAnsiTheme="majorHAnsi" w:cstheme="majorHAnsi"/>
                          <w:sz w:val="22"/>
                          <w:szCs w:val="22"/>
                          <w:lang w:val="nl-NL"/>
                        </w:rPr>
                      </w:pPr>
                      <w:r w:rsidRPr="005570DB">
                        <w:rPr>
                          <w:rFonts w:asciiTheme="majorHAnsi" w:hAnsiTheme="majorHAnsi" w:cstheme="majorHAnsi"/>
                          <w:sz w:val="22"/>
                          <w:szCs w:val="22"/>
                          <w:lang w:val="nl-NL"/>
                        </w:rPr>
                        <w:t>De internal-auditfunctie wordt doeltreffend bestuurd wanneer:</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resultaten in overeenstemming zijn met het doel en de verantwoordelijkheid, zoals opgenomen in het internal-auditcharter;</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internal auditing voldoet aan de Standaarden;</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individuele teamleden de gedragscode en de Standaarden naleven;</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alle trends en opkomende kwesties worden overwogen, die effect zouden kunnen hebben op de organisatie;</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de internal auditing door rekening te houden met strategieën, doelstellingen en risico's waarde toevoegt aan de organisatie en haar stakeholders;</w:t>
                      </w:r>
                    </w:p>
                    <w:p w:rsidR="00C17D83"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ernaar wordt gestreefd manieren te vinden om het bestuur, het risicomanagement en de controleprocedures te verbeteren;</w:t>
                      </w:r>
                    </w:p>
                    <w:p w:rsidR="002F57B5" w:rsidRPr="005570DB" w:rsidRDefault="00C17D83" w:rsidP="00C17D83">
                      <w:pPr>
                        <w:pStyle w:val="RedBullets"/>
                        <w:rPr>
                          <w:rFonts w:asciiTheme="majorHAnsi" w:hAnsiTheme="majorHAnsi" w:cstheme="majorHAnsi"/>
                          <w:sz w:val="22"/>
                          <w:szCs w:val="22"/>
                          <w:lang w:val="nl-NL"/>
                        </w:rPr>
                      </w:pPr>
                      <w:r w:rsidRPr="005570DB">
                        <w:rPr>
                          <w:rFonts w:asciiTheme="majorHAnsi" w:hAnsiTheme="majorHAnsi" w:cstheme="majorHAnsi"/>
                          <w:sz w:val="22"/>
                          <w:szCs w:val="22"/>
                          <w:lang w:val="nl-NL"/>
                        </w:rPr>
                        <w:t>op objectieve wijze relevante zekerheid wordt geboden.</w:t>
                      </w:r>
                    </w:p>
                    <w:p w:rsidR="00C17D83" w:rsidRPr="005570DB" w:rsidRDefault="00C17D83" w:rsidP="002F57B5">
                      <w:pPr>
                        <w:pStyle w:val="RedBullets"/>
                        <w:numPr>
                          <w:ilvl w:val="0"/>
                          <w:numId w:val="0"/>
                        </w:numPr>
                        <w:rPr>
                          <w:rFonts w:asciiTheme="majorHAnsi" w:hAnsiTheme="majorHAnsi" w:cstheme="majorHAnsi"/>
                          <w:sz w:val="22"/>
                          <w:szCs w:val="22"/>
                          <w:lang w:val="nl-NL"/>
                        </w:rPr>
                      </w:pPr>
                    </w:p>
                    <w:p w:rsidR="00C17D83" w:rsidRPr="005570DB" w:rsidRDefault="00C17D83" w:rsidP="00C17D83">
                      <w:pPr>
                        <w:pStyle w:val="RedBullets"/>
                        <w:numPr>
                          <w:ilvl w:val="0"/>
                          <w:numId w:val="0"/>
                        </w:numPr>
                        <w:jc w:val="right"/>
                        <w:rPr>
                          <w:rFonts w:asciiTheme="majorHAnsi" w:hAnsiTheme="majorHAnsi" w:cstheme="majorHAnsi"/>
                          <w:sz w:val="22"/>
                          <w:szCs w:val="22"/>
                          <w:lang w:val="nl-NL"/>
                        </w:rPr>
                      </w:pPr>
                      <w:proofErr w:type="spellStart"/>
                      <w:r w:rsidRPr="005570DB">
                        <w:rPr>
                          <w:rFonts w:asciiTheme="majorHAnsi" w:hAnsiTheme="majorHAnsi" w:cstheme="majorHAnsi"/>
                          <w:sz w:val="22"/>
                          <w:szCs w:val="22"/>
                          <w:lang w:val="nl-NL"/>
                        </w:rPr>
                        <w:t>Herziene</w:t>
                      </w:r>
                      <w:proofErr w:type="spellEnd"/>
                      <w:r w:rsidRPr="005570DB">
                        <w:rPr>
                          <w:rFonts w:asciiTheme="majorHAnsi" w:hAnsiTheme="majorHAnsi" w:cstheme="majorHAnsi"/>
                          <w:sz w:val="22"/>
                          <w:szCs w:val="22"/>
                          <w:lang w:val="nl-NL"/>
                        </w:rPr>
                        <w:t xml:space="preserve"> </w:t>
                      </w:r>
                      <w:r w:rsidRPr="00403167">
                        <w:rPr>
                          <w:rFonts w:asciiTheme="majorHAnsi" w:hAnsiTheme="majorHAnsi" w:cstheme="majorHAnsi"/>
                          <w:i/>
                          <w:sz w:val="22"/>
                          <w:szCs w:val="22"/>
                          <w:lang w:val="nl-NL"/>
                        </w:rPr>
                        <w:t>Standaarden</w:t>
                      </w:r>
                      <w:r w:rsidRPr="005570DB">
                        <w:rPr>
                          <w:rFonts w:asciiTheme="majorHAnsi" w:hAnsiTheme="majorHAnsi" w:cstheme="majorHAnsi"/>
                          <w:sz w:val="22"/>
                          <w:szCs w:val="22"/>
                          <w:lang w:val="nl-NL"/>
                        </w:rPr>
                        <w:t xml:space="preserve"> die per 1 januari 2017 van kracht zijn</w:t>
                      </w:r>
                    </w:p>
                  </w:txbxContent>
                </v:textbox>
                <w10:wrap type="square" anchorx="margin" anchory="margin"/>
              </v:shape>
            </w:pict>
          </mc:Fallback>
        </mc:AlternateContent>
      </w:r>
    </w:p>
    <w:p w:rsidR="002F57B5" w:rsidRPr="005570DB" w:rsidRDefault="002F57B5" w:rsidP="00FF046F">
      <w:pPr>
        <w:pStyle w:val="Geenafstand"/>
        <w:rPr>
          <w:rFonts w:cstheme="minorHAnsi"/>
          <w:lang w:val="nl-NL"/>
        </w:rPr>
      </w:pPr>
    </w:p>
    <w:p w:rsidR="002F57B5" w:rsidRPr="005570DB" w:rsidRDefault="00685768" w:rsidP="002F57B5">
      <w:pPr>
        <w:pStyle w:val="TemplateHeadline"/>
        <w:rPr>
          <w:rFonts w:asciiTheme="minorHAnsi" w:hAnsiTheme="minorHAnsi" w:cstheme="minorHAnsi"/>
          <w:lang w:val="nl-NL"/>
        </w:rPr>
      </w:pPr>
      <w:r w:rsidRPr="005570DB">
        <w:rPr>
          <w:rFonts w:asciiTheme="minorHAnsi" w:hAnsiTheme="minorHAnsi" w:cstheme="minorHAnsi"/>
          <w:lang w:val="nl-NL"/>
        </w:rPr>
        <w:t xml:space="preserve">Inleiding </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Deze standaard communiceert de minimumcriteria die het hoofd van de internal auditfunctie (CAE) moet vervullen bij het managen van de internal auditfunctie. Beoordeling van de vereisten met betrekking tot elk element in de interpretatie kan de CAE helpen om zich voor te bereiden op de implementatie van deze standaard.</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Zoals deze standaard aangeeft, is de CAE verantwoordelijk voor het managen van de internal auditfunctie op een wijze die de internal auditfunctie als geheel in staat stelt om te voldoen aan de </w:t>
      </w:r>
      <w:r w:rsidRPr="005570DB">
        <w:rPr>
          <w:rFonts w:asciiTheme="minorHAnsi" w:hAnsiTheme="minorHAnsi" w:cstheme="minorHAnsi"/>
          <w:i/>
          <w:iCs/>
          <w:sz w:val="22"/>
          <w:szCs w:val="22"/>
          <w:lang w:val="nl-NL"/>
        </w:rPr>
        <w:t>Standaarden</w:t>
      </w:r>
      <w:r w:rsidRPr="005570DB">
        <w:rPr>
          <w:rFonts w:asciiTheme="minorHAnsi" w:hAnsiTheme="minorHAnsi" w:cstheme="minorHAnsi"/>
          <w:sz w:val="22"/>
          <w:szCs w:val="22"/>
          <w:lang w:val="nl-NL"/>
        </w:rPr>
        <w:t xml:space="preserve"> en individuele internal auditors om te voldoen aan de </w:t>
      </w:r>
      <w:r w:rsidRPr="005570DB">
        <w:rPr>
          <w:rFonts w:asciiTheme="minorHAnsi" w:hAnsiTheme="minorHAnsi" w:cstheme="minorHAnsi"/>
          <w:i/>
          <w:iCs/>
          <w:sz w:val="22"/>
          <w:szCs w:val="22"/>
          <w:lang w:val="nl-NL"/>
        </w:rPr>
        <w:t>Standaarden</w:t>
      </w:r>
      <w:r w:rsidRPr="005570DB">
        <w:rPr>
          <w:rFonts w:asciiTheme="minorHAnsi" w:hAnsiTheme="minorHAnsi" w:cstheme="minorHAnsi"/>
          <w:sz w:val="22"/>
          <w:szCs w:val="22"/>
          <w:lang w:val="nl-NL"/>
        </w:rPr>
        <w:t xml:space="preserve"> en de Gedragscode. Zo is het van cruciaal belang dat de CAE regelmatig het International Professional </w:t>
      </w:r>
      <w:proofErr w:type="spellStart"/>
      <w:r w:rsidRPr="005570DB">
        <w:rPr>
          <w:rFonts w:asciiTheme="minorHAnsi" w:hAnsiTheme="minorHAnsi" w:cstheme="minorHAnsi"/>
          <w:sz w:val="22"/>
          <w:szCs w:val="22"/>
          <w:lang w:val="nl-NL"/>
        </w:rPr>
        <w:t>Practices</w:t>
      </w:r>
      <w:proofErr w:type="spellEnd"/>
      <w:r w:rsidRPr="005570DB">
        <w:rPr>
          <w:rFonts w:asciiTheme="minorHAnsi" w:hAnsiTheme="minorHAnsi" w:cstheme="minorHAnsi"/>
          <w:sz w:val="22"/>
          <w:szCs w:val="22"/>
          <w:lang w:val="nl-NL"/>
        </w:rPr>
        <w:t xml:space="preserve"> Framework (IPPF) raadpleegt om de details van naleving te behandelen.</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Standaard 2000 beschrijft verschillende fundamentele vereisten die nodig zijn om te voldoen aan het beginsel dat de internal auditfunctie meerwaarde biedt aan de organisatie. De CAE kan beginnen met het beoordelen van het doel en de verantwoordelijkheid van de internal auditfunctie die door de CAE, het senior management en het bestuur is overeengekomen en in het internal auditcharter is vastgelegd. </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Bestudering van het organigram kan de CAE helpen de stakeholders, structuur en rapportagerelaties van de organisatie te identificeren. Bestudering van het strategisch plan van de organisatie zal de CAE inzicht verschaffen in de strategieën, doelstellingen en risico's van de organisatie. De risico's die overwogen worden dienen mede betrekking te hebben op trends en nieuwe kwesties, zoals kwesties met betrekking tot de bedrijfstak van de organisatie, het internal auditberoep zelf, de wettelijke vereisten en politieke en economische situaties. De CAE kan extra input verzamelen door met het senior management en het bestuur over het strategisch plan te spreken.</w:t>
      </w:r>
    </w:p>
    <w:p w:rsidR="002C0B84" w:rsidRPr="005570DB" w:rsidRDefault="00902E75" w:rsidP="0081412E">
      <w:pPr>
        <w:pStyle w:val="TemplateHeadline"/>
        <w:rPr>
          <w:rFonts w:asciiTheme="minorHAnsi" w:hAnsiTheme="minorHAnsi" w:cstheme="minorHAnsi"/>
          <w:color w:val="000000"/>
          <w:sz w:val="22"/>
          <w:szCs w:val="22"/>
          <w:lang w:val="nl-NL"/>
        </w:rPr>
      </w:pPr>
      <w:r w:rsidRPr="005570DB">
        <w:rPr>
          <w:rFonts w:asciiTheme="minorHAnsi" w:hAnsiTheme="minorHAnsi" w:cstheme="minorHAnsi"/>
          <w:color w:val="000000"/>
          <w:sz w:val="22"/>
          <w:szCs w:val="22"/>
          <w:lang w:val="nl-NL"/>
        </w:rPr>
        <w:t xml:space="preserve">Dit vooroverleg en deze voorbereiding legt de basis voor het managen van de internal auditfunctie door de CAE op een wijze die meerwaarde biedt door de </w:t>
      </w:r>
      <w:proofErr w:type="spellStart"/>
      <w:r w:rsidRPr="005570DB">
        <w:rPr>
          <w:rFonts w:asciiTheme="minorHAnsi" w:hAnsiTheme="minorHAnsi" w:cstheme="minorHAnsi"/>
          <w:color w:val="000000"/>
          <w:sz w:val="22"/>
          <w:szCs w:val="22"/>
          <w:lang w:val="nl-NL"/>
        </w:rPr>
        <w:t>governance</w:t>
      </w:r>
      <w:proofErr w:type="spellEnd"/>
      <w:r w:rsidRPr="005570DB">
        <w:rPr>
          <w:rFonts w:asciiTheme="minorHAnsi" w:hAnsiTheme="minorHAnsi" w:cstheme="minorHAnsi"/>
          <w:color w:val="000000"/>
          <w:sz w:val="22"/>
          <w:szCs w:val="22"/>
          <w:lang w:val="nl-NL"/>
        </w:rPr>
        <w:t>-, risicomanagement- en beheersprocessen van de organisatie te verbeteren en door relevante assurance te bieden.</w:t>
      </w:r>
    </w:p>
    <w:p w:rsidR="00902E75" w:rsidRPr="005570DB" w:rsidRDefault="00902E75" w:rsidP="0081412E">
      <w:pPr>
        <w:pStyle w:val="TemplateHeadline"/>
        <w:rPr>
          <w:rFonts w:asciiTheme="minorHAnsi" w:hAnsiTheme="minorHAnsi" w:cstheme="minorHAnsi"/>
          <w:color w:val="000000"/>
          <w:sz w:val="22"/>
          <w:szCs w:val="22"/>
          <w:lang w:val="nl-NL"/>
        </w:rPr>
      </w:pPr>
    </w:p>
    <w:p w:rsidR="002F57B5" w:rsidRPr="005570DB" w:rsidRDefault="00685768" w:rsidP="002F57B5">
      <w:pPr>
        <w:pStyle w:val="TemplateHeadline"/>
        <w:rPr>
          <w:rFonts w:asciiTheme="minorHAnsi" w:hAnsiTheme="minorHAnsi" w:cstheme="minorHAnsi"/>
          <w:lang w:val="nl-NL"/>
        </w:rPr>
      </w:pPr>
      <w:r w:rsidRPr="005570DB">
        <w:rPr>
          <w:rFonts w:asciiTheme="minorHAnsi" w:hAnsiTheme="minorHAnsi" w:cstheme="minorHAnsi"/>
          <w:lang w:val="nl-NL"/>
        </w:rPr>
        <w:t xml:space="preserve">Overwegingen bij de implementatie </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lastRenderedPageBreak/>
        <w:t xml:space="preserve">Na overweging van de voornoemde informatie ontwikkelt de CAE een internal </w:t>
      </w:r>
      <w:proofErr w:type="spellStart"/>
      <w:r w:rsidRPr="005570DB">
        <w:rPr>
          <w:rFonts w:asciiTheme="minorHAnsi" w:hAnsiTheme="minorHAnsi" w:cstheme="minorHAnsi"/>
          <w:sz w:val="22"/>
          <w:szCs w:val="22"/>
          <w:lang w:val="nl-NL"/>
        </w:rPr>
        <w:t>auditingstrategie</w:t>
      </w:r>
      <w:proofErr w:type="spellEnd"/>
      <w:r w:rsidRPr="005570DB">
        <w:rPr>
          <w:rFonts w:asciiTheme="minorHAnsi" w:hAnsiTheme="minorHAnsi" w:cstheme="minorHAnsi"/>
          <w:sz w:val="22"/>
          <w:szCs w:val="22"/>
          <w:lang w:val="nl-NL"/>
        </w:rPr>
        <w:t xml:space="preserve"> en -aanpak die aansluit bij de doelstellingen en verwachtingen van de leiding van de organisatie. Bovendien stelt de CAE, zoals vermeld in Standaard 2010, een </w:t>
      </w:r>
      <w:proofErr w:type="spellStart"/>
      <w:r w:rsidRPr="005570DB">
        <w:rPr>
          <w:rFonts w:asciiTheme="minorHAnsi" w:hAnsiTheme="minorHAnsi" w:cstheme="minorHAnsi"/>
          <w:sz w:val="22"/>
          <w:szCs w:val="22"/>
          <w:lang w:val="nl-NL"/>
        </w:rPr>
        <w:t>risicogebaseerd</w:t>
      </w:r>
      <w:proofErr w:type="spellEnd"/>
      <w:r w:rsidRPr="005570DB">
        <w:rPr>
          <w:rFonts w:asciiTheme="minorHAnsi" w:hAnsiTheme="minorHAnsi" w:cstheme="minorHAnsi"/>
          <w:sz w:val="22"/>
          <w:szCs w:val="22"/>
          <w:lang w:val="nl-NL"/>
        </w:rPr>
        <w:t xml:space="preserve"> internal auditplan op om de prioriteiten van de assurance- en adviesopdrachten van de internal auditfunctie vast te stellen. Dit proces houdt rekening met de input van het senior management en het bestuur, evenals een gedocumenteerde jaarlijkse risicobeoordeling (Standaard 2010.A1). </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In het internal auditplan definieert de CAE doorgaans de reikwijdte en te leveren zaken van de internal auditfunctie, geeft hij/zij aan welke middelen benodigd zijn om het plan te realiseren en schetst hij/zij een aanpak om de internal auditfunctie te ontwikkelen en de prestaties en de vooruitgang ervan ten opzichte van het plan te meten. Volgens standaard 2020 is de CAE verantwoordelijk voor het communiceren van het plan, de vereiste middelen en de invloed van beperkingen van middelen aan het bestuur en het senior management en het verkrijgen van hun goedkeuring. Belangrijke tussentijdse wijzigingen van het plan moeten ook worden meegedeeld en goedgekeurd.</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Zoals vermeld in Standaard 2030 moet de CAE er ook voor zorgen dat de internal auditmiddelen doelmatig worden aangewend om het goedgekeurde plan te realiseren. Om een systematische en gedisciplineerde aanpak voor het managen van de internal auditfunctie te implementeren, neemt de CAE de dwingende richtlijnen van het IPPF in beschouwing en stelt de internal </w:t>
      </w:r>
      <w:proofErr w:type="spellStart"/>
      <w:r w:rsidRPr="005570DB">
        <w:rPr>
          <w:rFonts w:asciiTheme="minorHAnsi" w:hAnsiTheme="minorHAnsi" w:cstheme="minorHAnsi"/>
          <w:sz w:val="22"/>
          <w:szCs w:val="22"/>
          <w:lang w:val="nl-NL"/>
        </w:rPr>
        <w:t>auditingbeleidsregels</w:t>
      </w:r>
      <w:proofErr w:type="spellEnd"/>
      <w:r w:rsidRPr="005570DB">
        <w:rPr>
          <w:rFonts w:asciiTheme="minorHAnsi" w:hAnsiTheme="minorHAnsi" w:cstheme="minorHAnsi"/>
          <w:sz w:val="22"/>
          <w:szCs w:val="22"/>
          <w:lang w:val="nl-NL"/>
        </w:rPr>
        <w:t xml:space="preserve"> en -procedures (Standaard 2040) vast. Internal </w:t>
      </w:r>
      <w:proofErr w:type="spellStart"/>
      <w:r w:rsidRPr="005570DB">
        <w:rPr>
          <w:rFonts w:asciiTheme="minorHAnsi" w:hAnsiTheme="minorHAnsi" w:cstheme="minorHAnsi"/>
          <w:sz w:val="22"/>
          <w:szCs w:val="22"/>
          <w:lang w:val="nl-NL"/>
        </w:rPr>
        <w:t>auditbeleids</w:t>
      </w:r>
      <w:proofErr w:type="spellEnd"/>
      <w:r w:rsidRPr="005570DB">
        <w:rPr>
          <w:rFonts w:asciiTheme="minorHAnsi" w:hAnsiTheme="minorHAnsi" w:cstheme="minorHAnsi"/>
          <w:sz w:val="22"/>
          <w:szCs w:val="22"/>
          <w:lang w:val="nl-NL"/>
        </w:rPr>
        <w:t xml:space="preserve">- en proceduredocumenten worden vaak samengevoegd in een internal audithandboek voor gebruik door de internal auditfunctie. In de documenten kunnen methoden en instrumenten voor de opleiding van internal auditors zijn opgenomen. De CAE kan internal auditors verplichten om door ondertekening te bevestigen dat zij de beleidsregels en procedures hebben gelezen en begrepen. </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Standaard 2000 introduceert de verantwoordelijkheid van de CAE om ervoor te zorgen dat de internal auditfunctie meerwaarde biedt aan de organisatie door objectief relevante assurance te verschaffen en suggesties te geven ter verbetering van de </w:t>
      </w:r>
      <w:proofErr w:type="spellStart"/>
      <w:r w:rsidRPr="005570DB">
        <w:rPr>
          <w:rFonts w:asciiTheme="minorHAnsi" w:hAnsiTheme="minorHAnsi" w:cstheme="minorHAnsi"/>
          <w:sz w:val="22"/>
          <w:szCs w:val="22"/>
          <w:lang w:val="nl-NL"/>
        </w:rPr>
        <w:t>governance</w:t>
      </w:r>
      <w:proofErr w:type="spellEnd"/>
      <w:r w:rsidRPr="005570DB">
        <w:rPr>
          <w:rFonts w:asciiTheme="minorHAnsi" w:hAnsiTheme="minorHAnsi" w:cstheme="minorHAnsi"/>
          <w:sz w:val="22"/>
          <w:szCs w:val="22"/>
          <w:lang w:val="nl-NL"/>
        </w:rPr>
        <w:t>, het risicomanagement en de beheersprocessen van de organisatie. De 2100-serie standaarden en Implementatierichtlijnen beschrijven de vereisten en processen die de internal auditfunctie in staat stellen deze doelstellingen te bereiken.</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De CAE waarborgt doelmatig management door toezicht te houden op de naleving van de dwingende </w:t>
      </w:r>
      <w:r w:rsidRPr="005570DB">
        <w:rPr>
          <w:rFonts w:asciiTheme="minorHAnsi" w:hAnsiTheme="minorHAnsi" w:cstheme="minorHAnsi"/>
          <w:sz w:val="22"/>
          <w:szCs w:val="22"/>
          <w:lang w:val="nl-NL"/>
        </w:rPr>
        <w:lastRenderedPageBreak/>
        <w:t>richtlijnen van het IPPF op zowel het niveau van de individuele interne auditor als de internal auditfunctie als geheel. De CAE is ook verantwoordelijk voor het implementeren van een kwaliteitsbewakings- en verbeterprogramma, zoals vereist door Standaard 1300, en voor de implementatie van de methoden en instrumenten die verband houden met de standaarden van de 1200-serie.</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 xml:space="preserve">De CAE moet ook de effectiviteit van de internal auditfunctie evalueren om naleving van Standaard 2000 te bereiken. De CAE ontwikkelt doorgaans statistieken voor de evaluatie van de efficiëntie en effectiviteit van de internal auditfunctie. Instrumenten die CAE hiervoor kan gebruiken, omvatten verzoeken om feedback door middel van post-audit klant-enquêtes, het uitvoeren van jaarlijkse prestatiebeoordelingen van individuele internal auditors, implementatie van het kwaliteitsbewakings- en verbeterprogramma en door de internal auditfunctie van de organisatie te vergelijken met hedendaagse internal </w:t>
      </w:r>
      <w:proofErr w:type="spellStart"/>
      <w:r w:rsidRPr="005570DB">
        <w:rPr>
          <w:rFonts w:asciiTheme="minorHAnsi" w:hAnsiTheme="minorHAnsi" w:cstheme="minorHAnsi"/>
          <w:sz w:val="22"/>
          <w:szCs w:val="22"/>
          <w:lang w:val="nl-NL"/>
        </w:rPr>
        <w:t>auditinggroepen</w:t>
      </w:r>
      <w:proofErr w:type="spellEnd"/>
      <w:r w:rsidRPr="005570DB">
        <w:rPr>
          <w:rFonts w:asciiTheme="minorHAnsi" w:hAnsiTheme="minorHAnsi" w:cstheme="minorHAnsi"/>
          <w:sz w:val="22"/>
          <w:szCs w:val="22"/>
          <w:lang w:val="nl-NL"/>
        </w:rPr>
        <w:t xml:space="preserve"> in de bedrijfstak (benchmarking).</w:t>
      </w:r>
    </w:p>
    <w:p w:rsidR="00902E75" w:rsidRPr="005570DB" w:rsidRDefault="00902E75" w:rsidP="00902E75">
      <w:pPr>
        <w:pStyle w:val="TemplateBodyText"/>
        <w:rPr>
          <w:rFonts w:asciiTheme="minorHAnsi" w:hAnsiTheme="minorHAnsi" w:cstheme="minorHAnsi"/>
          <w:sz w:val="22"/>
          <w:szCs w:val="22"/>
          <w:lang w:val="nl-NL"/>
        </w:rPr>
      </w:pPr>
    </w:p>
    <w:p w:rsidR="002F57B5" w:rsidRPr="005570DB" w:rsidRDefault="00685768" w:rsidP="002F57B5">
      <w:pPr>
        <w:pStyle w:val="TemplateHeadline"/>
        <w:rPr>
          <w:rFonts w:asciiTheme="minorHAnsi" w:hAnsiTheme="minorHAnsi" w:cstheme="minorHAnsi"/>
          <w:lang w:val="nl-NL"/>
        </w:rPr>
      </w:pPr>
      <w:r w:rsidRPr="005570DB">
        <w:rPr>
          <w:rFonts w:asciiTheme="minorHAnsi" w:hAnsiTheme="minorHAnsi" w:cstheme="minorHAnsi"/>
          <w:lang w:val="nl-NL"/>
        </w:rPr>
        <w:t>Overwegingen b</w:t>
      </w:r>
      <w:r w:rsidR="002F57B5" w:rsidRPr="005570DB">
        <w:rPr>
          <w:rFonts w:asciiTheme="minorHAnsi" w:hAnsiTheme="minorHAnsi" w:cstheme="minorHAnsi"/>
          <w:lang w:val="nl-NL"/>
        </w:rPr>
        <w:t>ij het aantonen van de naleving</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Bewijs van hoe goed de internal auditfunctie is beheerd en of deze meerwaarde heeft geboden aan de organisatie wordt geleverd door de resultaten van klant-enquêtes na opdrachten en andere bronnen van feedback. Daarnaast helpen interne en externe evaluaties de naleving te meten van de dwingende richtlijnen van het IPPF door de internal auditfunctie, inclusief prestatie-parameters in verband met het beheer van de internal auditfunctie. De resultaten van vergelijkingen ten opzichte van de standaard in de bedrijfstak (d.w.z., benchmarking) kunnen ook worden gebruikt.</w:t>
      </w:r>
    </w:p>
    <w:p w:rsidR="00902E75" w:rsidRPr="005570DB" w:rsidRDefault="00902E75" w:rsidP="00902E7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Omdat Standaard 2000 bewijs van naleving vereist, niet alleen op het niveau van de internal auditfunctie, maar ook op het niveau van de individuele internal auditor, kunnen bewijzen die de standaarden van de 1200-serie ondersteunen ook nuttig zijn. Deze kunnen onder meer bestaan uit evaluaties van toezichthouders en collegiale beoordelingen van individuele internal auditors en de CAE, met parameters die verbonden zijn aan prestatie en naleving.</w:t>
      </w:r>
    </w:p>
    <w:p w:rsidR="00443735" w:rsidRPr="005570DB" w:rsidRDefault="00902E75" w:rsidP="00443735">
      <w:pPr>
        <w:pStyle w:val="TemplateBodyText"/>
        <w:rPr>
          <w:rFonts w:asciiTheme="minorHAnsi" w:hAnsiTheme="minorHAnsi" w:cstheme="minorHAnsi"/>
          <w:sz w:val="22"/>
          <w:szCs w:val="22"/>
          <w:lang w:val="nl-NL"/>
        </w:rPr>
      </w:pPr>
      <w:r w:rsidRPr="005570DB">
        <w:rPr>
          <w:rFonts w:asciiTheme="minorHAnsi" w:hAnsiTheme="minorHAnsi" w:cstheme="minorHAnsi"/>
          <w:sz w:val="22"/>
          <w:szCs w:val="22"/>
          <w:lang w:val="nl-NL"/>
        </w:rPr>
        <w:t>Bewijs van naleving van de standaarden van de 2000-serie (d.w.z., standaarden 2010 tot en met 2070) biedt aanvullend bewijs van naleving van Standaard 2000.</w:t>
      </w:r>
    </w:p>
    <w:p w:rsidR="002F57B5" w:rsidRPr="005570DB" w:rsidRDefault="00685768" w:rsidP="00443735">
      <w:pPr>
        <w:pStyle w:val="TemplateBodyText"/>
        <w:rPr>
          <w:rFonts w:asciiTheme="minorHAnsi" w:hAnsiTheme="minorHAnsi" w:cstheme="minorHAnsi"/>
          <w:lang w:val="nl-NL"/>
        </w:rPr>
      </w:pPr>
      <w:r w:rsidRPr="005570DB">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3838575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Pr="00E6381B" w:rsidRDefault="002F57B5" w:rsidP="005570DB">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2.2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DFgHOQ3wAA&#10;AAoBAAAPAAAAZHJzL2Rvd25yZXYueG1sTI9BT8MwDIXvSPyHyEjcWLKxTlNpOqEBEoddGEhc08Y0&#10;HY1TNdla+PXzTnCz/Z6ev1dsJt+JEw6xDaRhPlMgkOpgW2o0fLy/3K1BxGTImi4QavjBCJvy+qow&#10;uQ0jveFpnxrBIRRzo8Gl1OdSxtqhN3EWeiTWvsLgTeJ1aKQdzMjhvpMLpVbSm5b4gzM9bh3W3/uj&#10;15C1r2N7+IzPWeOdrba730V6Omh9ezM9PoBIOKU/M1zwGR1KZqrCkWwUnQYukjSs1DIDcZGVWvOp&#10;4mk5v1cgy0L+r1CeAQAA//8DAFBLAQItABQABgAIAAAAIQC2gziS/gAAAOEBAAATAAAAAAAAAAAA&#10;AAAAAAAAAABbQ29udGVudF9UeXBlc10ueG1sUEsBAi0AFAAGAAgAAAAhADj9If/WAAAAlAEAAAsA&#10;AAAAAAAAAAAAAAAALwEAAF9yZWxzLy5yZWxzUEsBAi0AFAAGAAgAAAAhAFoVc2CwAgAALQUAAA4A&#10;AAAAAAAAAAAAAAAALgIAAGRycy9lMm9Eb2MueG1sUEsBAi0AFAAGAAgAAAAhAMWAc5D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Pr="00E6381B" w:rsidRDefault="002F57B5" w:rsidP="005570DB">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txbxContent>
                </v:textbox>
                <w10:wrap type="square" anchorx="margin" anchory="page"/>
              </v:shape>
            </w:pict>
          </mc:Fallback>
        </mc:AlternateContent>
      </w:r>
    </w:p>
    <w:sectPr w:rsidR="002F57B5" w:rsidRPr="005570DB"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03167">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03167">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5570DB">
                            <w:rPr>
                              <w:rFonts w:ascii="Arial" w:hAnsi="Arial" w:cs="Arial"/>
                              <w:color w:val="0F1F4B"/>
                              <w:lang w:val="nl-NL"/>
                            </w:rPr>
                            <w:t>2000 -</w:t>
                          </w:r>
                          <w:r w:rsidR="00C17D83" w:rsidRPr="00C17D83">
                            <w:rPr>
                              <w:rFonts w:ascii="Arial" w:hAnsi="Arial" w:cs="Arial"/>
                              <w:color w:val="0F1F4B"/>
                              <w:lang w:val="nl-NL"/>
                            </w:rPr>
                            <w:t xml:space="preserve"> Management van de internal-auditfunctie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5570DB">
                      <w:rPr>
                        <w:rFonts w:ascii="Arial" w:hAnsi="Arial" w:cs="Arial"/>
                        <w:color w:val="0F1F4B"/>
                        <w:lang w:val="nl-NL"/>
                      </w:rPr>
                      <w:t>2000 -</w:t>
                    </w:r>
                    <w:r w:rsidR="00C17D83" w:rsidRPr="00C17D83">
                      <w:rPr>
                        <w:rFonts w:ascii="Arial" w:hAnsi="Arial" w:cs="Arial"/>
                        <w:color w:val="0F1F4B"/>
                        <w:lang w:val="nl-NL"/>
                      </w:rPr>
                      <w:t xml:space="preserve"> Management van de internal-auditfunctie</w:t>
                    </w:r>
                  </w:p>
                </w:txbxContent>
              </v:textbox>
              <w10:wrap type="through" anchorx="margin" anchory="margin"/>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align>top</wp:align>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1E5BA3"/>
    <w:rsid w:val="002456E9"/>
    <w:rsid w:val="00284E07"/>
    <w:rsid w:val="002C0B84"/>
    <w:rsid w:val="002F57B5"/>
    <w:rsid w:val="00403167"/>
    <w:rsid w:val="00443735"/>
    <w:rsid w:val="005570DB"/>
    <w:rsid w:val="005A0CAD"/>
    <w:rsid w:val="005C501B"/>
    <w:rsid w:val="00665553"/>
    <w:rsid w:val="00685768"/>
    <w:rsid w:val="0081412E"/>
    <w:rsid w:val="008F2569"/>
    <w:rsid w:val="00902E75"/>
    <w:rsid w:val="0097657B"/>
    <w:rsid w:val="00A96503"/>
    <w:rsid w:val="00AA0CBD"/>
    <w:rsid w:val="00B96FB2"/>
    <w:rsid w:val="00BC3D33"/>
    <w:rsid w:val="00C17D83"/>
    <w:rsid w:val="00C6368B"/>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55019-3120-4A64-929A-C768FA3235E3}">
  <ds:schemaRefs>
    <ds:schemaRef ds:uri="http://schemas.openxmlformats.org/officeDocument/2006/bibliography"/>
  </ds:schemaRefs>
</ds:datastoreItem>
</file>

<file path=customXml/itemProps2.xml><?xml version="1.0" encoding="utf-8"?>
<ds:datastoreItem xmlns:ds="http://schemas.openxmlformats.org/officeDocument/2006/customXml" ds:itemID="{ECF8C2FB-C318-49B7-9A71-559C49F8228A}"/>
</file>

<file path=customXml/itemProps3.xml><?xml version="1.0" encoding="utf-8"?>
<ds:datastoreItem xmlns:ds="http://schemas.openxmlformats.org/officeDocument/2006/customXml" ds:itemID="{7FBE75B1-2C16-4D17-9876-A2EEE14B112E}"/>
</file>

<file path=customXml/itemProps4.xml><?xml version="1.0" encoding="utf-8"?>
<ds:datastoreItem xmlns:ds="http://schemas.openxmlformats.org/officeDocument/2006/customXml" ds:itemID="{34EA3592-EF72-4ADB-BBAE-E1EB9A5E1093}"/>
</file>

<file path=docProps/app.xml><?xml version="1.0" encoding="utf-8"?>
<Properties xmlns="http://schemas.openxmlformats.org/officeDocument/2006/extended-properties" xmlns:vt="http://schemas.openxmlformats.org/officeDocument/2006/docPropsVTypes">
  <Template>B3949974</Template>
  <TotalTime>9</TotalTime>
  <Pages>5</Pages>
  <Words>1082</Words>
  <Characters>5955</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7</cp:revision>
  <dcterms:created xsi:type="dcterms:W3CDTF">2017-08-18T12:58:00Z</dcterms:created>
  <dcterms:modified xsi:type="dcterms:W3CDTF">2017-08-21T13:28:00Z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