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1BE" w:rsidRPr="002A055F" w:rsidRDefault="00C41ABA" w:rsidP="00AF61BE">
      <w:pPr>
        <w:pStyle w:val="TemplateHeadline"/>
        <w:rPr>
          <w:rFonts w:asciiTheme="minorHAnsi" w:hAnsiTheme="minorHAnsi" w:cstheme="minorHAnsi"/>
        </w:rPr>
      </w:pPr>
      <w:r w:rsidRPr="002A055F">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simplePos x="0" y="0"/>
                <wp:positionH relativeFrom="margin">
                  <wp:posOffset>0</wp:posOffset>
                </wp:positionH>
                <wp:positionV relativeFrom="page">
                  <wp:posOffset>2638425</wp:posOffset>
                </wp:positionV>
                <wp:extent cx="6400800" cy="1924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1924050"/>
                        </a:xfrm>
                        <a:prstGeom prst="rect">
                          <a:avLst/>
                        </a:prstGeom>
                        <a:solidFill>
                          <a:schemeClr val="bg1">
                            <a:lumMod val="85000"/>
                          </a:schemeClr>
                        </a:solidFill>
                        <a:ln>
                          <a:noFill/>
                        </a:ln>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B61C77" w:rsidRPr="00FC4D94" w:rsidRDefault="00C41ABA" w:rsidP="00FC4D94">
                            <w:pPr>
                              <w:pStyle w:val="TemplateHeadline"/>
                            </w:pPr>
                            <w:r w:rsidRPr="00FC4D94">
                              <w:rPr>
                                <w:lang w:val="nl-NL"/>
                              </w:rPr>
                              <w:t>Standaard 1230 - Voortdurende vaktechnische ontwikkeling</w:t>
                            </w:r>
                          </w:p>
                          <w:p w:rsidR="00CF3850" w:rsidRPr="00C6370F" w:rsidRDefault="00C41ABA" w:rsidP="00FC4D94">
                            <w:pPr>
                              <w:pStyle w:val="TemplateBodyText"/>
                              <w:rPr>
                                <w:rFonts w:asciiTheme="minorHAnsi" w:hAnsiTheme="minorHAnsi" w:cstheme="minorHAnsi"/>
                                <w:sz w:val="22"/>
                                <w:szCs w:val="22"/>
                              </w:rPr>
                            </w:pPr>
                            <w:r w:rsidRPr="00C6370F">
                              <w:rPr>
                                <w:rFonts w:asciiTheme="minorHAnsi" w:hAnsiTheme="minorHAnsi" w:cstheme="minorHAnsi"/>
                                <w:sz w:val="22"/>
                                <w:szCs w:val="22"/>
                                <w:lang w:val="nl-NL"/>
                              </w:rPr>
                              <w:t>Internal auditors moeten hun kennis, vaardigheden en overige competenties verbeteren via voortdurende vaktechnische ontwikkeling.</w:t>
                            </w:r>
                          </w:p>
                          <w:p w:rsidR="000C72B6" w:rsidRPr="00C6370F" w:rsidRDefault="00C41ABA" w:rsidP="000C72B6">
                            <w:pPr>
                              <w:pStyle w:val="TemplateBodyText"/>
                              <w:jc w:val="right"/>
                              <w:rPr>
                                <w:rFonts w:asciiTheme="minorHAnsi" w:hAnsiTheme="minorHAnsi" w:cstheme="minorHAnsi"/>
                                <w:sz w:val="22"/>
                                <w:szCs w:val="22"/>
                              </w:rPr>
                            </w:pPr>
                            <w:r w:rsidRPr="00C6370F">
                              <w:rPr>
                                <w:rFonts w:asciiTheme="minorHAnsi" w:hAnsiTheme="minorHAnsi" w:cstheme="minorHAnsi"/>
                                <w:sz w:val="22"/>
                                <w:szCs w:val="22"/>
                                <w:lang w:val="nl-NL"/>
                              </w:rPr>
                              <w:t xml:space="preserve">Herziene </w:t>
                            </w:r>
                            <w:r w:rsidRPr="00C6370F">
                              <w:rPr>
                                <w:rFonts w:asciiTheme="minorHAnsi" w:hAnsiTheme="minorHAnsi" w:cstheme="minorHAnsi"/>
                                <w:i/>
                                <w:sz w:val="22"/>
                                <w:szCs w:val="22"/>
                                <w:lang w:val="nl-NL"/>
                              </w:rPr>
                              <w:t>Standaarden</w:t>
                            </w:r>
                            <w:r w:rsidRPr="00C6370F">
                              <w:rPr>
                                <w:rFonts w:asciiTheme="minorHAnsi" w:hAnsiTheme="minorHAnsi" w:cstheme="minorHAnsi"/>
                                <w:sz w:val="22"/>
                                <w:szCs w:val="22"/>
                                <w:lang w:val="nl-NL"/>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207.75pt;width:7in;height:151.5pt;z-index:251658240;visibility:visible;mso-wrap-style:square;mso-height-percent:0;mso-wrap-distance-left:9pt;mso-wrap-distance-top:165.6pt;mso-wrap-distance-right:9pt;mso-wrap-distance-bottom:21.6pt;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" fillcolor="#d8d8d8 [2732]" stroked="f">
                <v:textbox inset="14.4pt,23.76pt,14.4pt,23.76pt">
                  <w:txbxContent>
                    <w:p w:rsidR="00B61C77" w:rsidRPr="00FC4D94" w:rsidRDefault="00C41ABA" w:rsidP="00FC4D94">
                      <w:pPr>
                        <w:pStyle w:val="TemplateHeadline"/>
                      </w:pPr>
                      <w:r w:rsidRPr="00FC4D94">
                        <w:rPr>
                          <w:lang w:val="nl-NL"/>
                        </w:rPr>
                        <w:t>Standaard 1230 - Voortdurende vaktechnische ontwikkeling</w:t>
                      </w:r>
                    </w:p>
                    <w:p w:rsidR="00CF3850" w:rsidRPr="00C6370F" w:rsidRDefault="00C41ABA" w:rsidP="00FC4D94">
                      <w:pPr>
                        <w:pStyle w:val="TemplateBodyText"/>
                        <w:rPr>
                          <w:rFonts w:asciiTheme="minorHAnsi" w:hAnsiTheme="minorHAnsi" w:cstheme="minorHAnsi"/>
                          <w:sz w:val="22"/>
                          <w:szCs w:val="22"/>
                        </w:rPr>
                      </w:pPr>
                      <w:r w:rsidRPr="00C6370F">
                        <w:rPr>
                          <w:rFonts w:asciiTheme="minorHAnsi" w:hAnsiTheme="minorHAnsi" w:cstheme="minorHAnsi"/>
                          <w:sz w:val="22"/>
                          <w:szCs w:val="22"/>
                          <w:lang w:val="nl-NL"/>
                        </w:rPr>
                        <w:t>Internal auditors moeten hun kennis, vaardigheden en overige competenties verbeteren via voortdurende vaktechnische ontwikkeling.</w:t>
                      </w:r>
                    </w:p>
                    <w:p w:rsidR="000C72B6" w:rsidRPr="00C6370F" w:rsidRDefault="00C41ABA" w:rsidP="000C72B6">
                      <w:pPr>
                        <w:pStyle w:val="TemplateBodyText"/>
                        <w:jc w:val="right"/>
                        <w:rPr>
                          <w:rFonts w:asciiTheme="minorHAnsi" w:hAnsiTheme="minorHAnsi" w:cstheme="minorHAnsi"/>
                          <w:sz w:val="22"/>
                          <w:szCs w:val="22"/>
                        </w:rPr>
                      </w:pPr>
                      <w:r w:rsidRPr="00C6370F">
                        <w:rPr>
                          <w:rFonts w:asciiTheme="minorHAnsi" w:hAnsiTheme="minorHAnsi" w:cstheme="minorHAnsi"/>
                          <w:sz w:val="22"/>
                          <w:szCs w:val="22"/>
                          <w:lang w:val="nl-NL"/>
                        </w:rPr>
                        <w:t xml:space="preserve">Herziene </w:t>
                      </w:r>
                      <w:r w:rsidRPr="00C6370F">
                        <w:rPr>
                          <w:rFonts w:asciiTheme="minorHAnsi" w:hAnsiTheme="minorHAnsi" w:cstheme="minorHAnsi"/>
                          <w:i/>
                          <w:sz w:val="22"/>
                          <w:szCs w:val="22"/>
                          <w:lang w:val="nl-NL"/>
                        </w:rPr>
                        <w:t>Standaarden</w:t>
                      </w:r>
                      <w:r w:rsidRPr="00C6370F">
                        <w:rPr>
                          <w:rFonts w:asciiTheme="minorHAnsi" w:hAnsiTheme="minorHAnsi" w:cstheme="minorHAnsi"/>
                          <w:sz w:val="22"/>
                          <w:szCs w:val="22"/>
                          <w:lang w:val="nl-NL"/>
                        </w:rPr>
                        <w:t xml:space="preserve"> die per 1 januari 2017 van kracht zijn</w:t>
                      </w:r>
                    </w:p>
                  </w:txbxContent>
                </v:textbox>
                <w10:wrap type="square" anchorx="margin" anchory="page"/>
              </v:shape>
            </w:pict>
          </mc:Fallback>
        </mc:AlternateContent>
      </w:r>
      <w:r w:rsidRPr="002A055F">
        <w:rPr>
          <w:rFonts w:asciiTheme="minorHAnsi" w:hAnsiTheme="minorHAnsi" w:cstheme="minorHAnsi"/>
          <w:noProof/>
          <w:lang w:val="nl-NL" w:eastAsia="nl-NL"/>
        </w:rPr>
        <mc:AlternateContent>
          <mc:Choice Requires="wps">
            <w:drawing>
              <wp:anchor distT="0" distB="0" distL="114300" distR="114300" simplePos="0" relativeHeight="251660288" behindDoc="0" locked="0" layoutInCell="1" allowOverlap="1">
                <wp:simplePos x="0" y="0"/>
                <wp:positionH relativeFrom="page">
                  <wp:posOffset>2514600</wp:posOffset>
                </wp:positionH>
                <wp:positionV relativeFrom="page">
                  <wp:posOffset>914400</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B61C77" w:rsidRPr="00E6381B" w:rsidRDefault="00C41ABA" w:rsidP="00B61C77">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Implementatierichtlijn 1230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id="Text Box 6" o:spid="_x0000_s1027" type="#_x0000_t202" style="position:absolute;margin-left:198pt;margin-top:1in;width:342pt;height:126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" filled="f" stroked="f">
                <v:textbox>
                  <w:txbxContent>
                    <w:p w:rsidR="00B61C77" w:rsidRPr="00E6381B" w:rsidRDefault="00C41ABA" w:rsidP="00B61C77">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Implementatierichtlijn 1230</w:t>
                      </w:r>
                    </w:p>
                  </w:txbxContent>
                </v:textbox>
                <w10:wrap type="square" anchorx="page" anchory="page"/>
              </v:shape>
            </w:pict>
          </mc:Fallback>
        </mc:AlternateContent>
      </w:r>
      <w:r w:rsidRPr="002A055F">
        <w:rPr>
          <w:rFonts w:asciiTheme="minorHAnsi" w:hAnsiTheme="minorHAnsi" w:cstheme="minorHAnsi"/>
          <w:lang w:val="nl-NL"/>
        </w:rPr>
        <w:t>Inleiding</w:t>
      </w:r>
    </w:p>
    <w:p w:rsidR="00AD417A" w:rsidRPr="002A055F" w:rsidRDefault="00C41ABA" w:rsidP="00194E3A">
      <w:pPr>
        <w:pStyle w:val="TemplateBodyText"/>
        <w:spacing w:before="100" w:after="100"/>
        <w:rPr>
          <w:rFonts w:asciiTheme="minorHAnsi" w:hAnsiTheme="minorHAnsi" w:cstheme="minorHAnsi"/>
          <w:sz w:val="22"/>
          <w:szCs w:val="22"/>
        </w:rPr>
      </w:pPr>
      <w:r w:rsidRPr="002A055F">
        <w:rPr>
          <w:rFonts w:asciiTheme="minorHAnsi" w:hAnsiTheme="minorHAnsi" w:cstheme="minorHAnsi"/>
          <w:sz w:val="22"/>
          <w:szCs w:val="22"/>
          <w:lang w:val="nl-NL"/>
        </w:rPr>
        <w:t xml:space="preserve">Om hun competenties te verbeteren en zich voortdurend vaktechnisch te blijven ontwikkelen, is het raadzaam dat internal auditors hun functievereisten in aanmerking nemen, waaronder het opleidingsbeleid en de vaktechnische kwalificaties die gelden voor hun beroep, organisatie en sector, alsmede eventuele certificeringen of specialismen. Daarnaast kunnen internal auditors rekening houden met feedback uit recente beoordelingen van hun functioneren, alsmede de bevindingen ten aanzien van hun naleving van de verplichte richtlijnen in het </w:t>
      </w:r>
      <w:r w:rsidRPr="002A055F">
        <w:rPr>
          <w:rFonts w:asciiTheme="minorHAnsi" w:hAnsiTheme="minorHAnsi" w:cstheme="minorHAnsi"/>
          <w:i/>
          <w:iCs/>
          <w:sz w:val="22"/>
          <w:szCs w:val="22"/>
          <w:lang w:val="nl-NL"/>
        </w:rPr>
        <w:t>International Professional Practices Framework</w:t>
      </w:r>
      <w:r w:rsidRPr="002A055F">
        <w:rPr>
          <w:rFonts w:asciiTheme="minorHAnsi" w:hAnsiTheme="minorHAnsi" w:cstheme="minorHAnsi"/>
          <w:sz w:val="22"/>
          <w:szCs w:val="22"/>
          <w:lang w:val="nl-NL"/>
        </w:rPr>
        <w:t xml:space="preserve"> (IPPF). Ook kunnen ze de resultaten in overweging nemen van zelfevaluaties die zijn uitgevoerd conform het </w:t>
      </w:r>
      <w:r w:rsidRPr="002A055F">
        <w:rPr>
          <w:rFonts w:asciiTheme="minorHAnsi" w:hAnsiTheme="minorHAnsi" w:cstheme="minorHAnsi"/>
          <w:i/>
          <w:iCs/>
          <w:sz w:val="22"/>
          <w:szCs w:val="22"/>
          <w:lang w:val="nl-NL"/>
        </w:rPr>
        <w:t xml:space="preserve">Internal Audit Competency Framework </w:t>
      </w:r>
      <w:r w:rsidRPr="002A055F">
        <w:rPr>
          <w:rFonts w:asciiTheme="minorHAnsi" w:hAnsiTheme="minorHAnsi" w:cstheme="minorHAnsi"/>
          <w:sz w:val="22"/>
          <w:szCs w:val="22"/>
          <w:lang w:val="nl-NL"/>
        </w:rPr>
        <w:t>van het IIA of een soortgelijke benchmark. Zich bezinnen op hun loopbaandoelen kan internal auditors helpen bij de planning van hun vaktechnische ontwikkeling op de lange termijn.</w:t>
      </w:r>
      <w:r w:rsidR="002A055F">
        <w:rPr>
          <w:rFonts w:asciiTheme="minorHAnsi" w:hAnsiTheme="minorHAnsi" w:cstheme="minorHAnsi"/>
          <w:sz w:val="22"/>
          <w:szCs w:val="22"/>
          <w:lang w:val="nl-NL"/>
        </w:rPr>
        <w:br/>
      </w:r>
    </w:p>
    <w:p w:rsidR="00CF3850" w:rsidRPr="002A055F" w:rsidRDefault="00C41ABA" w:rsidP="00174305">
      <w:pPr>
        <w:pStyle w:val="TemplateHeadline"/>
        <w:spacing w:before="100" w:beforeAutospacing="1" w:after="100" w:afterAutospacing="1"/>
        <w:rPr>
          <w:rFonts w:asciiTheme="minorHAnsi" w:hAnsiTheme="minorHAnsi" w:cstheme="minorHAnsi"/>
        </w:rPr>
      </w:pPr>
      <w:r w:rsidRPr="002A055F">
        <w:rPr>
          <w:rFonts w:asciiTheme="minorHAnsi" w:hAnsiTheme="minorHAnsi" w:cstheme="minorHAnsi"/>
          <w:lang w:val="nl-NL"/>
        </w:rPr>
        <w:t>Overwegingen bij de implementatie</w:t>
      </w:r>
    </w:p>
    <w:p w:rsidR="00F7305E" w:rsidRPr="002A055F" w:rsidRDefault="00C41ABA" w:rsidP="00194E3A">
      <w:pPr>
        <w:pStyle w:val="TemplateBodyText"/>
        <w:spacing w:before="100" w:after="100"/>
        <w:rPr>
          <w:rFonts w:asciiTheme="minorHAnsi" w:hAnsiTheme="minorHAnsi" w:cstheme="minorHAnsi"/>
          <w:sz w:val="22"/>
          <w:szCs w:val="22"/>
        </w:rPr>
      </w:pPr>
      <w:r w:rsidRPr="002A055F">
        <w:rPr>
          <w:rFonts w:asciiTheme="minorHAnsi" w:hAnsiTheme="minorHAnsi" w:cstheme="minorHAnsi"/>
          <w:sz w:val="22"/>
          <w:szCs w:val="22"/>
          <w:lang w:val="nl-NL"/>
        </w:rPr>
        <w:lastRenderedPageBreak/>
        <w:t xml:space="preserve">Individuele internal auditors kunnen als basis voor hun vaktechnische ontwikkelingsplan gebruikmaken van een instrument voor zelfevaluatie, zoals het IIA-Competentieraamwerk. Het ontwikkelingsplan kan training op de werkvloer, coaching, mentoring en andere interne en externe training bevatten, alsmede vrijwilligerswerk en certificeringstrajecten. Gewoonlijk bespreekt de internal auditor het plan eerst met het hoofd van de internal auditfunctie (Chief Audit Executive (CAE)). Vervolgens spreken de twee af om het vaktechnische ontwikkelingsplan als basis te gebruiken voor het formuleren van maatstaven voor de beoordeling van het functioneren van de internal auditor (kritische prestatie-indicatoren). Deze kunnen worden toegepast in beoordelingen door leidinggevenden, vragenlijsten voor opdrachtgevers en jaarlijkse functioneringsgesprekken. De resultaten van de beoordelingen kunnen de CAE en de internal auditor zelf helpen om te bepalen welke aspecten prioriteit moeten krijgen in de voortdurende vaktechnische ontwikkeling. Uiteindelijk is de individuele internal auditor zelf verantwoordelijkheid voor het naleven van Standaard 1230. </w:t>
      </w:r>
    </w:p>
    <w:p w:rsidR="002027B3" w:rsidRPr="002A055F" w:rsidRDefault="00C41ABA" w:rsidP="00F7305E">
      <w:pPr>
        <w:pStyle w:val="TemplateBodyText"/>
        <w:spacing w:before="100" w:after="100"/>
        <w:rPr>
          <w:rFonts w:asciiTheme="minorHAnsi" w:hAnsiTheme="minorHAnsi" w:cstheme="minorHAnsi"/>
          <w:sz w:val="22"/>
          <w:szCs w:val="22"/>
        </w:rPr>
      </w:pPr>
      <w:r w:rsidRPr="002A055F">
        <w:rPr>
          <w:rFonts w:asciiTheme="minorHAnsi" w:hAnsiTheme="minorHAnsi" w:cstheme="minorHAnsi"/>
          <w:sz w:val="22"/>
          <w:szCs w:val="22"/>
          <w:lang w:val="nl-NL"/>
        </w:rPr>
        <w:t xml:space="preserve">Bij vaktechnische ontwikkelingsmogelijkheden valt te denken aan deelnemen aan conferenties, seminars, trainingsprogramma's, online cursussen en webinars, zelfstudieprogramma's of klassikale cursussen, het uitvoeren onderzoeksprojecten, vrijwilligerswerk bij beroepsorganisaties, en het behalen van beroepscertificeringen, zoals de door de IIA verstrekte kwalificatie Certified Internal Auditor® (CIA®). Dankzij voortdurende vaktechnische ontwikkeling gericht op bepaalde sectoren of specialismen (zoals data-analyse, financiële dienstverlening, IT, belastingrecht of systeemontwerpen) kunnen vaktechnische competenties verworven worden die de internal auditwerkzaamheden ten aanzien van die specifieke aspecten verbeteren. </w:t>
      </w:r>
    </w:p>
    <w:p w:rsidR="00F7305E" w:rsidRPr="002A055F" w:rsidRDefault="00C41ABA" w:rsidP="00F7305E">
      <w:pPr>
        <w:pStyle w:val="TemplateBodyText"/>
        <w:spacing w:before="100" w:after="100"/>
        <w:rPr>
          <w:rFonts w:asciiTheme="minorHAnsi" w:hAnsiTheme="minorHAnsi" w:cstheme="minorHAnsi"/>
          <w:sz w:val="22"/>
          <w:szCs w:val="22"/>
        </w:rPr>
      </w:pPr>
      <w:r w:rsidRPr="002A055F">
        <w:rPr>
          <w:rFonts w:asciiTheme="minorHAnsi" w:hAnsiTheme="minorHAnsi" w:cstheme="minorHAnsi"/>
          <w:sz w:val="22"/>
          <w:szCs w:val="22"/>
          <w:lang w:val="nl-NL"/>
        </w:rPr>
        <w:t xml:space="preserve">Soms uiten opdrachtgevers in vragenlijsten over de uitvoering van internal auditopdrachten zorgen over het bedrijfsmatige inzicht van internal auditors. De CAE en de internal auditors moeten dergelijke punten van zorg aanpakken door de binnen hun organisatie beschikbare trainingen of andere mogelijkheden te gebruiken om hun bedrijfsmatige inzicht te vergroten. </w:t>
      </w:r>
    </w:p>
    <w:p w:rsidR="003D29DE" w:rsidRPr="002A055F" w:rsidRDefault="00C41ABA" w:rsidP="00F7305E">
      <w:pPr>
        <w:pStyle w:val="TemplateBodyText"/>
        <w:spacing w:before="100" w:after="100"/>
        <w:rPr>
          <w:rFonts w:asciiTheme="minorHAnsi" w:hAnsiTheme="minorHAnsi" w:cstheme="minorHAnsi"/>
          <w:sz w:val="22"/>
          <w:szCs w:val="22"/>
        </w:rPr>
      </w:pPr>
      <w:r w:rsidRPr="002A055F">
        <w:rPr>
          <w:rFonts w:asciiTheme="minorHAnsi" w:hAnsiTheme="minorHAnsi" w:cstheme="minorHAnsi"/>
          <w:sz w:val="22"/>
          <w:szCs w:val="22"/>
          <w:lang w:val="nl-NL"/>
        </w:rPr>
        <w:t xml:space="preserve">Om te zorgen dat internal auditors de mogelijkheid hebben hun kennis, vaardigheden en andere competenties te verbeteren, kan de CAE een trainings- en ontwikkelingsbeleid opzetten ter ondersteuning van voortdurende vaktechnische ontwikkeling. Een dergelijk beleid kan een minimum aantal trainingsuren per auditor voorschrijven; 40 uur bijvoorbeeld, zoals vereist voor een groot aantal beroepscertificeringen. CAE's kunnen overwegen benchmarking in te zetten om inzicht te krijgen in de </w:t>
      </w:r>
      <w:r w:rsidRPr="002A055F">
        <w:rPr>
          <w:rFonts w:asciiTheme="minorHAnsi" w:hAnsiTheme="minorHAnsi" w:cstheme="minorHAnsi"/>
          <w:sz w:val="22"/>
          <w:szCs w:val="22"/>
          <w:lang w:val="nl-NL"/>
        </w:rPr>
        <w:lastRenderedPageBreak/>
        <w:t>huidige en toekomstige behoeften van het beroep van internal auditor, alsmede specifieke trends in de sector of een binnen een specialisme.</w:t>
      </w:r>
    </w:p>
    <w:p w:rsidR="00F7305E" w:rsidRPr="002A055F" w:rsidRDefault="00C41ABA" w:rsidP="00F7305E">
      <w:pPr>
        <w:pStyle w:val="TemplateBodyText"/>
        <w:spacing w:before="100" w:after="100"/>
        <w:rPr>
          <w:rFonts w:asciiTheme="minorHAnsi" w:hAnsiTheme="minorHAnsi" w:cstheme="minorHAnsi"/>
          <w:sz w:val="22"/>
          <w:szCs w:val="22"/>
        </w:rPr>
      </w:pPr>
      <w:r w:rsidRPr="002A055F">
        <w:rPr>
          <w:rFonts w:asciiTheme="minorHAnsi" w:hAnsiTheme="minorHAnsi" w:cstheme="minorHAnsi"/>
          <w:sz w:val="22"/>
          <w:szCs w:val="22"/>
          <w:lang w:val="nl-NL"/>
        </w:rPr>
        <w:t>Om te waarborgen dat hun vaktechnische kennis dagelijks wordt geactualiseerd, kunnen de internal auditors zich wenden tot het IIA voor leidraden inzake standaarden, best practices, procedures en technieken die van invloed kunnen zijn op het beroep van internal auditor of hun organisatie en specifieke sector. Dit kan inhouden dat zij hun lidmaatschap van het IIA en van andere beroepsorganisaties in stand houden, deelnemen aan lokale netwerkevenementen of zich abonneren op newsfeeds of nieuwsdiensten voor het beroep van internal au</w:t>
      </w:r>
      <w:r w:rsidR="002A055F">
        <w:rPr>
          <w:rFonts w:asciiTheme="minorHAnsi" w:hAnsiTheme="minorHAnsi" w:cstheme="minorHAnsi"/>
          <w:sz w:val="22"/>
          <w:szCs w:val="22"/>
          <w:lang w:val="nl-NL"/>
        </w:rPr>
        <w:t>ditor en hun specifieke sector.</w:t>
      </w:r>
      <w:r w:rsidR="002A055F">
        <w:rPr>
          <w:rFonts w:asciiTheme="minorHAnsi" w:hAnsiTheme="minorHAnsi" w:cstheme="minorHAnsi"/>
          <w:sz w:val="22"/>
          <w:szCs w:val="22"/>
          <w:lang w:val="nl-NL"/>
        </w:rPr>
        <w:br/>
      </w:r>
    </w:p>
    <w:p w:rsidR="00CF3850" w:rsidRPr="002A055F" w:rsidRDefault="00C41ABA" w:rsidP="00CF3850">
      <w:pPr>
        <w:pStyle w:val="TemplateHeadline"/>
        <w:spacing w:before="100" w:beforeAutospacing="1" w:after="100" w:afterAutospacing="1"/>
        <w:rPr>
          <w:rFonts w:asciiTheme="minorHAnsi" w:hAnsiTheme="minorHAnsi" w:cstheme="minorHAnsi"/>
        </w:rPr>
      </w:pPr>
      <w:r w:rsidRPr="002A055F">
        <w:rPr>
          <w:rFonts w:asciiTheme="minorHAnsi" w:hAnsiTheme="minorHAnsi" w:cstheme="minorHAnsi"/>
          <w:lang w:val="nl-NL"/>
        </w:rPr>
        <w:t>Overwegingen bij het aantonen van de naleving</w:t>
      </w:r>
    </w:p>
    <w:p w:rsidR="008C491B" w:rsidRPr="002A055F" w:rsidRDefault="00C41ABA" w:rsidP="00174305">
      <w:pPr>
        <w:pStyle w:val="TemplateBodyText"/>
        <w:rPr>
          <w:rFonts w:asciiTheme="minorHAnsi" w:hAnsiTheme="minorHAnsi" w:cstheme="minorHAnsi"/>
          <w:sz w:val="22"/>
          <w:szCs w:val="22"/>
        </w:rPr>
      </w:pPr>
      <w:r w:rsidRPr="002A055F">
        <w:rPr>
          <w:rFonts w:asciiTheme="minorHAnsi" w:hAnsiTheme="minorHAnsi" w:cstheme="minorHAnsi"/>
          <w:sz w:val="22"/>
          <w:szCs w:val="22"/>
          <w:lang w:val="nl-NL"/>
        </w:rPr>
        <w:t>Internal auditors kunnen hun naleving van Standaard 1230 aantonen door documentatie of andere dossiers aan te leggen van een of meer van het volgende:</w:t>
      </w:r>
    </w:p>
    <w:p w:rsidR="008C491B" w:rsidRPr="002A055F" w:rsidRDefault="00C41ABA" w:rsidP="00BB3B83">
      <w:pPr>
        <w:pStyle w:val="RedBullets"/>
        <w:rPr>
          <w:rFonts w:asciiTheme="minorHAnsi" w:hAnsiTheme="minorHAnsi" w:cstheme="minorHAnsi"/>
          <w:sz w:val="22"/>
          <w:szCs w:val="22"/>
        </w:rPr>
      </w:pPr>
      <w:r w:rsidRPr="002A055F">
        <w:rPr>
          <w:rFonts w:asciiTheme="minorHAnsi" w:hAnsiTheme="minorHAnsi" w:cstheme="minorHAnsi"/>
          <w:sz w:val="22"/>
          <w:szCs w:val="22"/>
          <w:lang w:val="nl-NL"/>
        </w:rPr>
        <w:t xml:space="preserve">Zelfevaluaties op basis van een competentieraamwerk of benchmark. </w:t>
      </w:r>
    </w:p>
    <w:p w:rsidR="008C491B" w:rsidRPr="002A055F" w:rsidRDefault="00C41ABA" w:rsidP="00BB3B83">
      <w:pPr>
        <w:pStyle w:val="RedBullets"/>
        <w:rPr>
          <w:rFonts w:asciiTheme="minorHAnsi" w:hAnsiTheme="minorHAnsi" w:cstheme="minorHAnsi"/>
          <w:sz w:val="22"/>
          <w:szCs w:val="22"/>
        </w:rPr>
      </w:pPr>
      <w:r w:rsidRPr="002A055F">
        <w:rPr>
          <w:rFonts w:asciiTheme="minorHAnsi" w:hAnsiTheme="minorHAnsi" w:cstheme="minorHAnsi"/>
          <w:sz w:val="22"/>
          <w:szCs w:val="22"/>
          <w:lang w:val="nl-NL"/>
        </w:rPr>
        <w:t>Vaktechnische ontwikkelings- en trainingsplannen.</w:t>
      </w:r>
    </w:p>
    <w:p w:rsidR="008C491B" w:rsidRPr="002A055F" w:rsidRDefault="00C41ABA" w:rsidP="00BB3B83">
      <w:pPr>
        <w:pStyle w:val="RedBullets"/>
        <w:rPr>
          <w:rFonts w:asciiTheme="minorHAnsi" w:hAnsiTheme="minorHAnsi" w:cstheme="minorHAnsi"/>
          <w:sz w:val="22"/>
          <w:szCs w:val="22"/>
        </w:rPr>
      </w:pPr>
      <w:r w:rsidRPr="002A055F">
        <w:rPr>
          <w:rFonts w:asciiTheme="minorHAnsi" w:hAnsiTheme="minorHAnsi" w:cstheme="minorHAnsi"/>
          <w:sz w:val="22"/>
          <w:szCs w:val="22"/>
          <w:lang w:val="nl-NL"/>
        </w:rPr>
        <w:t>Lidmaatschappen van beroepsorganisaties en deelname aan hun activiteiten.</w:t>
      </w:r>
    </w:p>
    <w:p w:rsidR="008C491B" w:rsidRPr="002A055F" w:rsidRDefault="00C41ABA" w:rsidP="00BB3B83">
      <w:pPr>
        <w:pStyle w:val="RedBullets"/>
        <w:rPr>
          <w:rFonts w:asciiTheme="minorHAnsi" w:hAnsiTheme="minorHAnsi" w:cstheme="minorHAnsi"/>
          <w:sz w:val="22"/>
          <w:szCs w:val="22"/>
        </w:rPr>
      </w:pPr>
      <w:r w:rsidRPr="002A055F">
        <w:rPr>
          <w:rFonts w:asciiTheme="minorHAnsi" w:hAnsiTheme="minorHAnsi" w:cstheme="minorHAnsi"/>
          <w:sz w:val="22"/>
          <w:szCs w:val="22"/>
          <w:lang w:val="nl-NL"/>
        </w:rPr>
        <w:t>Abonnementen op diensten die vaktechnische informatie verschaffen.</w:t>
      </w:r>
    </w:p>
    <w:p w:rsidR="008C491B" w:rsidRPr="002A055F" w:rsidRDefault="00C41ABA" w:rsidP="00BB3B83">
      <w:pPr>
        <w:pStyle w:val="RedBullets"/>
        <w:spacing w:after="180"/>
        <w:rPr>
          <w:rFonts w:asciiTheme="minorHAnsi" w:hAnsiTheme="minorHAnsi" w:cstheme="minorHAnsi"/>
          <w:sz w:val="22"/>
          <w:szCs w:val="22"/>
        </w:rPr>
      </w:pPr>
      <w:r w:rsidRPr="002A055F">
        <w:rPr>
          <w:rFonts w:asciiTheme="minorHAnsi" w:hAnsiTheme="minorHAnsi" w:cstheme="minorHAnsi"/>
          <w:sz w:val="22"/>
          <w:szCs w:val="22"/>
          <w:lang w:val="nl-NL"/>
        </w:rPr>
        <w:t xml:space="preserve">Voltooiing van trainingen (zoals behaalde PE-punten, certificeringen of getuigschriften). </w:t>
      </w:r>
    </w:p>
    <w:p w:rsidR="00765C85" w:rsidRPr="002A055F" w:rsidRDefault="00C41ABA" w:rsidP="00174305">
      <w:pPr>
        <w:pStyle w:val="TemplateBodyText"/>
        <w:rPr>
          <w:rFonts w:asciiTheme="minorHAnsi" w:hAnsiTheme="minorHAnsi" w:cstheme="minorHAnsi"/>
          <w:sz w:val="22"/>
          <w:szCs w:val="22"/>
        </w:rPr>
      </w:pPr>
      <w:r w:rsidRPr="002A055F">
        <w:rPr>
          <w:rFonts w:asciiTheme="minorHAnsi" w:hAnsiTheme="minorHAnsi" w:cstheme="minorHAnsi"/>
          <w:sz w:val="22"/>
          <w:szCs w:val="22"/>
          <w:lang w:val="nl-NL"/>
        </w:rPr>
        <w:t>De verbetering van de vakbekwaamheid dankzij trainingen op de werkvloer en interne trainingen wordt vaak gedocumenteerd in prestatiebeoordelingen, waarin ook toekomstige mogelijkheden voor vaktechnische ontwikkeling vastgesteld kunnen worden. De nieuwe vaardigheden en verbeterde capaciteiten kunnen ook blijken uit scores op prestatie-indicatoren of observaties van leidinggevenden of vakgenoten. Uit beleidsprogramma's van de internal auditfunctie, een opleidingsschema en door medewerkers van de internal auditfunctie ingevulde vragenlijsten kan blijken dat de CAE mogelijkheden voor voortdurende vaktechnische ontwikkeling heeft geboden.</w:t>
      </w:r>
    </w:p>
    <w:p w:rsidR="00765C85" w:rsidRPr="002A055F" w:rsidRDefault="00C41ABA">
      <w:pPr>
        <w:rPr>
          <w:rFonts w:cstheme="minorHAnsi"/>
          <w:color w:val="000000"/>
        </w:rPr>
      </w:pPr>
      <w:r w:rsidRPr="002A055F">
        <w:rPr>
          <w:rFonts w:cstheme="minorHAnsi"/>
          <w:lang w:val="nl-NL"/>
        </w:rPr>
        <w:br w:type="page"/>
      </w:r>
    </w:p>
    <w:p w:rsidR="006050F3" w:rsidRPr="002A055F" w:rsidRDefault="00C41ABA" w:rsidP="00CF3850">
      <w:pPr>
        <w:rPr>
          <w:rFonts w:cstheme="minorHAnsi"/>
          <w:color w:val="000000"/>
          <w:lang w:val="pt-BR"/>
        </w:rPr>
      </w:pPr>
      <w:r w:rsidRPr="002A055F">
        <w:rPr>
          <w:rFonts w:cstheme="minorHAnsi"/>
          <w:noProof/>
          <w:lang w:val="nl-NL" w:eastAsia="nl-NL"/>
        </w:rPr>
        <w:lastRenderedPageBreak/>
        <mc:AlternateContent>
          <mc:Choice Requires="wps">
            <w:drawing>
              <wp:anchor distT="2103120" distB="274320" distL="114300" distR="114300" simplePos="0" relativeHeight="251662336" behindDoc="0" locked="0" layoutInCell="1" allowOverlap="1">
                <wp:simplePos x="0" y="0"/>
                <wp:positionH relativeFrom="margin">
                  <wp:posOffset>0</wp:posOffset>
                </wp:positionH>
                <wp:positionV relativeFrom="paragraph">
                  <wp:posOffset>2667000</wp:posOffset>
                </wp:positionV>
                <wp:extent cx="6400800" cy="52006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200650"/>
                        </a:xfrm>
                        <a:prstGeom prst="rect">
                          <a:avLst/>
                        </a:prstGeom>
                        <a:solidFill>
                          <a:schemeClr val="bg1">
                            <a:lumMod val="85000"/>
                          </a:schemeClr>
                        </a:solidFill>
                        <a:ln>
                          <a:noFill/>
                        </a:ln>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C41ABA" w:rsidRPr="00E6381B" w:rsidRDefault="00C41ABA" w:rsidP="00C41ABA">
                            <w:pPr>
                              <w:pStyle w:val="BoilerplateHeadline"/>
                            </w:pPr>
                            <w:r w:rsidRPr="00E6381B">
                              <w:rPr>
                                <w:lang w:val="nl-NL"/>
                              </w:rPr>
                              <w:t xml:space="preserve">Over het IIA </w:t>
                            </w:r>
                          </w:p>
                          <w:p w:rsidR="00C41ABA" w:rsidRPr="001A0D5D" w:rsidRDefault="00C41ABA" w:rsidP="00C41ABA">
                            <w:pPr>
                              <w:pStyle w:val="BoilerplateBodyText"/>
                            </w:pPr>
                            <w:r w:rsidRPr="001A0D5D">
                              <w:rPr>
                                <w:lang w:val="nl-NL"/>
                              </w:rPr>
                              <w:t xml:space="preserve">Het </w:t>
                            </w:r>
                            <w:r w:rsidRPr="001A0D5D">
                              <w:rPr>
                                <w:i/>
                                <w:iCs/>
                                <w:lang w:val="nl-NL"/>
                              </w:rPr>
                              <w:t xml:space="preserve">Institute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C41ABA" w:rsidRPr="00E6381B" w:rsidRDefault="00C41ABA" w:rsidP="00C41ABA">
                            <w:pPr>
                              <w:pStyle w:val="BoilerplateHeadline"/>
                            </w:pPr>
                            <w:r w:rsidRPr="00E6381B">
                              <w:rPr>
                                <w:lang w:val="nl-NL"/>
                              </w:rPr>
                              <w:t>Over de Implementatierichtlijnen</w:t>
                            </w:r>
                          </w:p>
                          <w:p w:rsidR="00C41ABA" w:rsidRDefault="00C41ABA" w:rsidP="00C41ABA">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International Professional Practices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International Standards for the Professional Practice of Internal Auditing</w:t>
                            </w:r>
                            <w:r w:rsidRPr="00362566">
                              <w:rPr>
                                <w:rFonts w:ascii="ArialMT" w:hAnsi="ArialMT" w:cs="ArialMT"/>
                                <w:color w:val="000000"/>
                                <w:sz w:val="18"/>
                                <w:szCs w:val="18"/>
                                <w:lang w:val="nl-NL"/>
                              </w:rPr>
                              <w:t xml:space="preserve"> (Standaarden) na te leven. </w:t>
                            </w:r>
                          </w:p>
                          <w:p w:rsidR="00C41ABA" w:rsidRDefault="00C41ABA" w:rsidP="00C41ABA">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C41ABA" w:rsidRDefault="00C41ABA" w:rsidP="00C41ABA">
                            <w:pPr>
                              <w:pStyle w:val="BoilerplateBodyText"/>
                              <w:ind w:right="60"/>
                            </w:pPr>
                            <w:r>
                              <w:rPr>
                                <w:lang w:val="nl-NL"/>
                              </w:rPr>
                              <w:t xml:space="preserve">Andere gezaghebbende richtlijnen van het IIA kunt u vinden op onze websites: www.globaliia.org/standards-guidance en www.theiia.org/guidance. </w:t>
                            </w:r>
                          </w:p>
                          <w:p w:rsidR="00C41ABA" w:rsidRDefault="00C41ABA" w:rsidP="00C41ABA">
                            <w:pPr>
                              <w:pStyle w:val="BoilerplateHeadline"/>
                            </w:pPr>
                            <w:r>
                              <w:rPr>
                                <w:lang w:val="nl-NL"/>
                              </w:rPr>
                              <w:t>Disclaimer</w:t>
                            </w:r>
                          </w:p>
                          <w:p w:rsidR="00C41ABA" w:rsidRDefault="00C41ABA" w:rsidP="00C41ABA">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C41ABA" w:rsidRDefault="00C41ABA" w:rsidP="00C41ABA">
                            <w:pPr>
                              <w:pStyle w:val="BoilerplateHeadline"/>
                              <w:spacing w:after="60"/>
                            </w:pPr>
                            <w:r>
                              <w:rPr>
                                <w:lang w:val="nl-NL"/>
                              </w:rPr>
                              <w:t>Auteursrecht</w:t>
                            </w:r>
                          </w:p>
                          <w:p w:rsidR="00C41ABA" w:rsidRDefault="00C41ABA" w:rsidP="00C41ABA">
                            <w:pPr>
                              <w:pStyle w:val="BoilerplateBodyText"/>
                            </w:pPr>
                            <w:r>
                              <w:rPr>
                                <w:lang w:val="nl-NL"/>
                              </w:rPr>
                              <w:t>Copyright</w:t>
                            </w:r>
                            <w:r>
                              <w:rPr>
                                <w:vertAlign w:val="superscript"/>
                                <w:lang w:val="nl-NL"/>
                              </w:rPr>
                              <w:t>®</w:t>
                            </w:r>
                            <w:r>
                              <w:rPr>
                                <w:lang w:val="nl-NL"/>
                              </w:rPr>
                              <w:t xml:space="preserve"> 2016 </w:t>
                            </w:r>
                            <w:r>
                              <w:rPr>
                                <w:i/>
                                <w:iCs/>
                                <w:lang w:val="nl-NL"/>
                              </w:rPr>
                              <w:t>The Institute of Internal Auditors.</w:t>
                            </w:r>
                            <w:r w:rsidR="00E00D12">
                              <w:rPr>
                                <w:i/>
                                <w:iCs/>
                                <w:lang w:val="nl-NL"/>
                              </w:rPr>
                              <w:t xml:space="preserve"> </w:t>
                            </w:r>
                            <w:r>
                              <w:rPr>
                                <w:lang w:val="nl-NL"/>
                              </w:rPr>
                              <w:t xml:space="preserve">Toestemming voor reproductie van deze publicatie kunt u per e-mail aanvragen via guidance@theiia.org. </w:t>
                            </w:r>
                          </w:p>
                          <w:p w:rsidR="00AF61BE" w:rsidRPr="00E6381B" w:rsidRDefault="009E6471" w:rsidP="00AF61BE"/>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0;margin-top:210pt;width:7in;height:409.5pt;z-index:251662336;visibility:visible;mso-wrap-style:square;mso-height-percent:0;mso-wrap-distance-left:9pt;mso-wrap-distance-top:165.6pt;mso-wrap-distance-right:9pt;mso-wrap-distance-bottom:21.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" fillcolor="#d8d8d8 [2732]" stroked="f">
                <v:textbox inset="14.4pt,23.76pt,14.4pt,23.76pt">
                  <w:txbxContent>
                    <w:p w:rsidR="00C41ABA" w:rsidRPr="00E6381B" w:rsidRDefault="00C41ABA" w:rsidP="00C41ABA">
                      <w:pPr>
                        <w:pStyle w:val="BoilerplateHeadline"/>
                      </w:pPr>
                      <w:r w:rsidRPr="00E6381B">
                        <w:rPr>
                          <w:lang w:val="nl-NL"/>
                        </w:rPr>
                        <w:t xml:space="preserve">Over het IIA </w:t>
                      </w:r>
                    </w:p>
                    <w:p w:rsidR="00C41ABA" w:rsidRPr="001A0D5D" w:rsidRDefault="00C41ABA" w:rsidP="00C41ABA">
                      <w:pPr>
                        <w:pStyle w:val="BoilerplateBodyText"/>
                      </w:pPr>
                      <w:r w:rsidRPr="001A0D5D">
                        <w:rPr>
                          <w:lang w:val="nl-NL"/>
                        </w:rPr>
                        <w:t xml:space="preserve">Het </w:t>
                      </w:r>
                      <w:r w:rsidRPr="001A0D5D">
                        <w:rPr>
                          <w:i/>
                          <w:iCs/>
                          <w:lang w:val="nl-NL"/>
                        </w:rPr>
                        <w:t xml:space="preserve">Institute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C41ABA" w:rsidRPr="00E6381B" w:rsidRDefault="00C41ABA" w:rsidP="00C41ABA">
                      <w:pPr>
                        <w:pStyle w:val="BoilerplateHeadline"/>
                      </w:pPr>
                      <w:r w:rsidRPr="00E6381B">
                        <w:rPr>
                          <w:lang w:val="nl-NL"/>
                        </w:rPr>
                        <w:t>Over de Implementatierichtlijnen</w:t>
                      </w:r>
                    </w:p>
                    <w:p w:rsidR="00C41ABA" w:rsidRDefault="00C41ABA" w:rsidP="00C41ABA">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International Professional Practices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International Standards for the Professional Practice of Internal Auditing</w:t>
                      </w:r>
                      <w:r w:rsidRPr="00362566">
                        <w:rPr>
                          <w:rFonts w:ascii="ArialMT" w:hAnsi="ArialMT" w:cs="ArialMT"/>
                          <w:color w:val="000000"/>
                          <w:sz w:val="18"/>
                          <w:szCs w:val="18"/>
                          <w:lang w:val="nl-NL"/>
                        </w:rPr>
                        <w:t xml:space="preserve"> (Standaarden) na te leven. </w:t>
                      </w:r>
                    </w:p>
                    <w:p w:rsidR="00C41ABA" w:rsidRDefault="00C41ABA" w:rsidP="00C41ABA">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C41ABA" w:rsidRDefault="00C41ABA" w:rsidP="00C41ABA">
                      <w:pPr>
                        <w:pStyle w:val="BoilerplateBodyText"/>
                        <w:ind w:right="60"/>
                      </w:pPr>
                      <w:r>
                        <w:rPr>
                          <w:lang w:val="nl-NL"/>
                        </w:rPr>
                        <w:t xml:space="preserve">Andere gezaghebbende richtlijnen van het IIA kunt u vinden op onze websites: www.globaliia.org/standards-guidance en www.theiia.org/guidance. </w:t>
                      </w:r>
                    </w:p>
                    <w:p w:rsidR="00C41ABA" w:rsidRDefault="00C41ABA" w:rsidP="00C41ABA">
                      <w:pPr>
                        <w:pStyle w:val="BoilerplateHeadline"/>
                      </w:pPr>
                      <w:r>
                        <w:rPr>
                          <w:lang w:val="nl-NL"/>
                        </w:rPr>
                        <w:t>Disclaimer</w:t>
                      </w:r>
                    </w:p>
                    <w:p w:rsidR="00C41ABA" w:rsidRDefault="00C41ABA" w:rsidP="00C41ABA">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C41ABA" w:rsidRDefault="00C41ABA" w:rsidP="00C41ABA">
                      <w:pPr>
                        <w:pStyle w:val="BoilerplateHeadline"/>
                        <w:spacing w:after="60"/>
                      </w:pPr>
                      <w:r>
                        <w:rPr>
                          <w:lang w:val="nl-NL"/>
                        </w:rPr>
                        <w:t>Auteursrecht</w:t>
                      </w:r>
                    </w:p>
                    <w:p w:rsidR="00C41ABA" w:rsidRDefault="00C41ABA" w:rsidP="00C41ABA">
                      <w:pPr>
                        <w:pStyle w:val="BoilerplateBodyText"/>
                      </w:pPr>
                      <w:r>
                        <w:rPr>
                          <w:lang w:val="nl-NL"/>
                        </w:rPr>
                        <w:t>Copyright</w:t>
                      </w:r>
                      <w:r>
                        <w:rPr>
                          <w:vertAlign w:val="superscript"/>
                          <w:lang w:val="nl-NL"/>
                        </w:rPr>
                        <w:t>®</w:t>
                      </w:r>
                      <w:r>
                        <w:rPr>
                          <w:lang w:val="nl-NL"/>
                        </w:rPr>
                        <w:t xml:space="preserve"> 2016 </w:t>
                      </w:r>
                      <w:r>
                        <w:rPr>
                          <w:i/>
                          <w:iCs/>
                          <w:lang w:val="nl-NL"/>
                        </w:rPr>
                        <w:t>The Institute of Internal Auditors.</w:t>
                      </w:r>
                      <w:r w:rsidR="00E00D12">
                        <w:rPr>
                          <w:i/>
                          <w:iCs/>
                          <w:lang w:val="nl-NL"/>
                        </w:rPr>
                        <w:t xml:space="preserve"> </w:t>
                      </w:r>
                      <w:r>
                        <w:rPr>
                          <w:lang w:val="nl-NL"/>
                        </w:rPr>
                        <w:t xml:space="preserve">Toestemming voor reproductie van deze publicatie kunt u per e-mail aanvragen via guidance@theiia.org. </w:t>
                      </w:r>
                    </w:p>
                    <w:p w:rsidR="00AF61BE" w:rsidRPr="00E6381B" w:rsidRDefault="009E6471" w:rsidP="00AF61BE"/>
                  </w:txbxContent>
                </v:textbox>
                <w10:wrap type="square" anchorx="margin"/>
              </v:shape>
            </w:pict>
          </mc:Fallback>
        </mc:AlternateContent>
      </w:r>
    </w:p>
    <w:sectPr w:rsidR="006050F3" w:rsidRPr="002A055F" w:rsidSect="00893833">
      <w:headerReference w:type="even" r:id="rId8"/>
      <w:headerReference w:type="default" r:id="rId9"/>
      <w:footerReference w:type="even" r:id="rId10"/>
      <w:footerReference w:type="default" r:id="rId11"/>
      <w:headerReference w:type="first" r:id="rId12"/>
      <w:footerReference w:type="first" r:id="rId13"/>
      <w:pgSz w:w="12240" w:h="15840"/>
      <w:pgMar w:top="1800" w:right="1080" w:bottom="189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482" w:rsidRDefault="00C41ABA">
      <w:r>
        <w:separator/>
      </w:r>
    </w:p>
  </w:endnote>
  <w:endnote w:type="continuationSeparator" w:id="0">
    <w:p w:rsidR="00771482" w:rsidRDefault="00C4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BB2" w:rsidRDefault="009E647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Pr="006227FD" w:rsidRDefault="00C41ABA" w:rsidP="006227FD">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9E6471">
      <w:rPr>
        <w:rStyle w:val="Paginanummer"/>
        <w:noProof/>
        <w:color w:val="535953"/>
        <w:sz w:val="16"/>
        <w:szCs w:val="16"/>
      </w:rPr>
      <w:t>3</w:t>
    </w:r>
    <w:r w:rsidRPr="006227FD">
      <w:rPr>
        <w:rStyle w:val="Paginanummer"/>
        <w:color w:val="535953"/>
        <w:sz w:val="16"/>
        <w:szCs w:val="16"/>
      </w:rPr>
      <w:fldChar w:fldCharType="end"/>
    </w:r>
  </w:p>
  <w:p w:rsidR="00B01FFE" w:rsidRDefault="009E647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Pr="00893833" w:rsidRDefault="00C41ABA" w:rsidP="00893833">
    <w:pPr>
      <w:framePr w:wrap="around" w:vAnchor="text" w:hAnchor="page" w:x="6071" w:y="277"/>
      <w:rPr>
        <w:rStyle w:val="Paginanummer"/>
        <w:color w:val="535953"/>
        <w:sz w:val="16"/>
        <w:szCs w:val="16"/>
      </w:rPr>
    </w:pP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9E6471">
      <w:rPr>
        <w:rStyle w:val="Paginanummer"/>
        <w:noProof/>
        <w:color w:val="535953"/>
        <w:sz w:val="16"/>
        <w:szCs w:val="16"/>
      </w:rPr>
      <w:t>1</w:t>
    </w:r>
    <w:r w:rsidRPr="00893833">
      <w:rPr>
        <w:rStyle w:val="Paginanummer"/>
        <w:color w:val="535953"/>
        <w:sz w:val="16"/>
        <w:szCs w:val="16"/>
      </w:rPr>
      <w:fldChar w:fldCharType="end"/>
    </w:r>
  </w:p>
  <w:p w:rsidR="00B01FFE" w:rsidRDefault="009E64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482" w:rsidRDefault="00C41ABA">
      <w:r>
        <w:separator/>
      </w:r>
    </w:p>
  </w:footnote>
  <w:footnote w:type="continuationSeparator" w:id="0">
    <w:p w:rsidR="00771482" w:rsidRDefault="00C41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C41ABA" w:rsidP="006227FD">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B01FFE" w:rsidRDefault="009E64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C41ABA">
    <w:r>
      <w:rPr>
        <w:noProof/>
        <w:lang w:val="nl-NL" w:eastAsia="nl-NL"/>
      </w:rPr>
      <mc:AlternateContent>
        <mc:Choice Requires="wps">
          <w:drawing>
            <wp:anchor distT="0" distB="0" distL="114300" distR="114300" simplePos="0" relativeHeight="251657216"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rsidR="00B01FFE" w:rsidRPr="006227FD" w:rsidRDefault="00C41ABA">
                          <w:pPr>
                            <w:rPr>
                              <w:rFonts w:ascii="Arial" w:hAnsi="Arial" w:cs="Arial"/>
                              <w:color w:val="002239" w:themeColor="text2" w:themeShade="80"/>
                            </w:rPr>
                          </w:pPr>
                          <w:r>
                            <w:rPr>
                              <w:rFonts w:ascii="Arial" w:hAnsi="Arial" w:cs="Arial"/>
                              <w:color w:val="0F1F4B"/>
                              <w:lang w:val="nl-NL"/>
                            </w:rPr>
                            <w:t>Implementatierichtlijn 1230</w:t>
                          </w:r>
                          <w:r w:rsidR="00E00D12">
                            <w:rPr>
                              <w:rFonts w:ascii="Arial" w:hAnsi="Arial" w:cs="Arial"/>
                              <w:color w:val="002239" w:themeColor="text2" w:themeShade="80"/>
                              <w:lang w:val="nl-NL"/>
                            </w:rPr>
                            <w:t xml:space="preserve"> </w:t>
                          </w:r>
                          <w:r w:rsidR="009E6471">
                            <w:rPr>
                              <w:rFonts w:ascii="Arial" w:hAnsi="Arial" w:cs="Arial"/>
                              <w:color w:val="002239" w:themeColor="text2" w:themeShade="80"/>
                              <w:lang w:val="nl-NL"/>
                            </w:rPr>
                            <w:t xml:space="preserve">- </w:t>
                          </w:r>
                          <w:bookmarkStart w:id="0" w:name="_GoBack"/>
                          <w:bookmarkEnd w:id="0"/>
                          <w:r>
                            <w:rPr>
                              <w:rFonts w:ascii="Arial" w:hAnsi="Arial" w:cs="Arial"/>
                              <w:color w:val="535953"/>
                              <w:lang w:val="nl-NL"/>
                            </w:rPr>
                            <w:t>Voortdurende vaktechnische ontwikkeling</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B01FFE" w:rsidRPr="006227FD" w:rsidRDefault="00C41ABA">
                    <w:pPr>
                      <w:rPr>
                        <w:rFonts w:ascii="Arial" w:hAnsi="Arial" w:cs="Arial"/>
                        <w:color w:val="002239" w:themeColor="text2" w:themeShade="80"/>
                      </w:rPr>
                    </w:pPr>
                    <w:r>
                      <w:rPr>
                        <w:rFonts w:ascii="Arial" w:hAnsi="Arial" w:cs="Arial"/>
                        <w:color w:val="0F1F4B"/>
                        <w:lang w:val="nl-NL"/>
                      </w:rPr>
                      <w:t>Implementatierichtlijn 1230</w:t>
                    </w:r>
                    <w:r w:rsidR="00E00D12">
                      <w:rPr>
                        <w:rFonts w:ascii="Arial" w:hAnsi="Arial" w:cs="Arial"/>
                        <w:color w:val="002239" w:themeColor="text2" w:themeShade="80"/>
                        <w:lang w:val="nl-NL"/>
                      </w:rPr>
                      <w:t xml:space="preserve"> </w:t>
                    </w:r>
                    <w:r w:rsidR="009E6471">
                      <w:rPr>
                        <w:rFonts w:ascii="Arial" w:hAnsi="Arial" w:cs="Arial"/>
                        <w:color w:val="002239" w:themeColor="text2" w:themeShade="80"/>
                        <w:lang w:val="nl-NL"/>
                      </w:rPr>
                      <w:t xml:space="preserve">- </w:t>
                    </w:r>
                    <w:bookmarkStart w:id="1" w:name="_GoBack"/>
                    <w:bookmarkEnd w:id="1"/>
                    <w:r>
                      <w:rPr>
                        <w:rFonts w:ascii="Arial" w:hAnsi="Arial" w:cs="Arial"/>
                        <w:color w:val="535953"/>
                        <w:lang w:val="nl-NL"/>
                      </w:rPr>
                      <w:t>Voortdurende vaktechnische ontwikkeling</w:t>
                    </w:r>
                  </w:p>
                </w:txbxContent>
              </v:textbox>
              <w10:wrap type="through" anchorx="page" anchory="page"/>
            </v:shape>
          </w:pict>
        </mc:Fallback>
      </mc:AlternateContent>
    </w:r>
    <w:r>
      <w:rPr>
        <w:noProof/>
        <w:lang w:val="nl-NL" w:eastAsia="nl-NL"/>
      </w:rPr>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7772400" cy="100614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C41ABA">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0A42"/>
    <w:multiLevelType w:val="hybridMultilevel"/>
    <w:tmpl w:val="75FA64F4"/>
    <w:lvl w:ilvl="0" w:tplc="23EEC654">
      <w:start w:val="1"/>
      <w:numFmt w:val="bullet"/>
      <w:lvlText w:val=""/>
      <w:lvlJc w:val="left"/>
      <w:pPr>
        <w:ind w:left="720" w:hanging="360"/>
      </w:pPr>
      <w:rPr>
        <w:rFonts w:ascii="Symbol" w:hAnsi="Symbol" w:hint="default"/>
      </w:rPr>
    </w:lvl>
    <w:lvl w:ilvl="1" w:tplc="09C64F3E">
      <w:start w:val="1"/>
      <w:numFmt w:val="bullet"/>
      <w:lvlText w:val="o"/>
      <w:lvlJc w:val="left"/>
      <w:pPr>
        <w:ind w:left="1440" w:hanging="360"/>
      </w:pPr>
      <w:rPr>
        <w:rFonts w:ascii="Courier New" w:hAnsi="Courier New" w:cs="Courier New" w:hint="default"/>
      </w:rPr>
    </w:lvl>
    <w:lvl w:ilvl="2" w:tplc="8412449C" w:tentative="1">
      <w:start w:val="1"/>
      <w:numFmt w:val="bullet"/>
      <w:lvlText w:val=""/>
      <w:lvlJc w:val="left"/>
      <w:pPr>
        <w:ind w:left="2160" w:hanging="360"/>
      </w:pPr>
      <w:rPr>
        <w:rFonts w:ascii="Wingdings" w:hAnsi="Wingdings" w:hint="default"/>
      </w:rPr>
    </w:lvl>
    <w:lvl w:ilvl="3" w:tplc="76E6DE16" w:tentative="1">
      <w:start w:val="1"/>
      <w:numFmt w:val="bullet"/>
      <w:lvlText w:val=""/>
      <w:lvlJc w:val="left"/>
      <w:pPr>
        <w:ind w:left="2880" w:hanging="360"/>
      </w:pPr>
      <w:rPr>
        <w:rFonts w:ascii="Symbol" w:hAnsi="Symbol" w:hint="default"/>
      </w:rPr>
    </w:lvl>
    <w:lvl w:ilvl="4" w:tplc="71E4A5A2" w:tentative="1">
      <w:start w:val="1"/>
      <w:numFmt w:val="bullet"/>
      <w:lvlText w:val="o"/>
      <w:lvlJc w:val="left"/>
      <w:pPr>
        <w:ind w:left="3600" w:hanging="360"/>
      </w:pPr>
      <w:rPr>
        <w:rFonts w:ascii="Courier New" w:hAnsi="Courier New" w:cs="Courier New" w:hint="default"/>
      </w:rPr>
    </w:lvl>
    <w:lvl w:ilvl="5" w:tplc="B95C869A" w:tentative="1">
      <w:start w:val="1"/>
      <w:numFmt w:val="bullet"/>
      <w:lvlText w:val=""/>
      <w:lvlJc w:val="left"/>
      <w:pPr>
        <w:ind w:left="4320" w:hanging="360"/>
      </w:pPr>
      <w:rPr>
        <w:rFonts w:ascii="Wingdings" w:hAnsi="Wingdings" w:hint="default"/>
      </w:rPr>
    </w:lvl>
    <w:lvl w:ilvl="6" w:tplc="24E6EB9E" w:tentative="1">
      <w:start w:val="1"/>
      <w:numFmt w:val="bullet"/>
      <w:lvlText w:val=""/>
      <w:lvlJc w:val="left"/>
      <w:pPr>
        <w:ind w:left="5040" w:hanging="360"/>
      </w:pPr>
      <w:rPr>
        <w:rFonts w:ascii="Symbol" w:hAnsi="Symbol" w:hint="default"/>
      </w:rPr>
    </w:lvl>
    <w:lvl w:ilvl="7" w:tplc="BD9A67DC" w:tentative="1">
      <w:start w:val="1"/>
      <w:numFmt w:val="bullet"/>
      <w:lvlText w:val="o"/>
      <w:lvlJc w:val="left"/>
      <w:pPr>
        <w:ind w:left="5760" w:hanging="360"/>
      </w:pPr>
      <w:rPr>
        <w:rFonts w:ascii="Courier New" w:hAnsi="Courier New" w:cs="Courier New" w:hint="default"/>
      </w:rPr>
    </w:lvl>
    <w:lvl w:ilvl="8" w:tplc="ED8CB3C8" w:tentative="1">
      <w:start w:val="1"/>
      <w:numFmt w:val="bullet"/>
      <w:lvlText w:val=""/>
      <w:lvlJc w:val="left"/>
      <w:pPr>
        <w:ind w:left="6480" w:hanging="360"/>
      </w:pPr>
      <w:rPr>
        <w:rFonts w:ascii="Wingdings" w:hAnsi="Wingdings" w:hint="default"/>
      </w:rPr>
    </w:lvl>
  </w:abstractNum>
  <w:abstractNum w:abstractNumId="1" w15:restartNumberingAfterBreak="0">
    <w:nsid w:val="1D4A6306"/>
    <w:multiLevelType w:val="hybridMultilevel"/>
    <w:tmpl w:val="36D85A0C"/>
    <w:lvl w:ilvl="0" w:tplc="76283E2A">
      <w:start w:val="1"/>
      <w:numFmt w:val="bullet"/>
      <w:lvlText w:val=""/>
      <w:lvlJc w:val="left"/>
      <w:pPr>
        <w:ind w:left="990" w:hanging="360"/>
      </w:pPr>
      <w:rPr>
        <w:rFonts w:ascii="Symbol" w:hAnsi="Symbol" w:hint="default"/>
        <w:color w:val="D32E30" w:themeColor="accent2"/>
      </w:rPr>
    </w:lvl>
    <w:lvl w:ilvl="1" w:tplc="27D6C06C" w:tentative="1">
      <w:start w:val="1"/>
      <w:numFmt w:val="bullet"/>
      <w:lvlText w:val="o"/>
      <w:lvlJc w:val="left"/>
      <w:pPr>
        <w:ind w:left="1710" w:hanging="360"/>
      </w:pPr>
      <w:rPr>
        <w:rFonts w:ascii="Courier New" w:hAnsi="Courier New" w:hint="default"/>
      </w:rPr>
    </w:lvl>
    <w:lvl w:ilvl="2" w:tplc="91200938" w:tentative="1">
      <w:start w:val="1"/>
      <w:numFmt w:val="bullet"/>
      <w:lvlText w:val=""/>
      <w:lvlJc w:val="left"/>
      <w:pPr>
        <w:ind w:left="2430" w:hanging="360"/>
      </w:pPr>
      <w:rPr>
        <w:rFonts w:ascii="Wingdings" w:hAnsi="Wingdings" w:hint="default"/>
      </w:rPr>
    </w:lvl>
    <w:lvl w:ilvl="3" w:tplc="F4227DF8" w:tentative="1">
      <w:start w:val="1"/>
      <w:numFmt w:val="bullet"/>
      <w:lvlText w:val=""/>
      <w:lvlJc w:val="left"/>
      <w:pPr>
        <w:ind w:left="3150" w:hanging="360"/>
      </w:pPr>
      <w:rPr>
        <w:rFonts w:ascii="Symbol" w:hAnsi="Symbol" w:hint="default"/>
      </w:rPr>
    </w:lvl>
    <w:lvl w:ilvl="4" w:tplc="18E2FBD4" w:tentative="1">
      <w:start w:val="1"/>
      <w:numFmt w:val="bullet"/>
      <w:lvlText w:val="o"/>
      <w:lvlJc w:val="left"/>
      <w:pPr>
        <w:ind w:left="3870" w:hanging="360"/>
      </w:pPr>
      <w:rPr>
        <w:rFonts w:ascii="Courier New" w:hAnsi="Courier New" w:hint="default"/>
      </w:rPr>
    </w:lvl>
    <w:lvl w:ilvl="5" w:tplc="8182F63A" w:tentative="1">
      <w:start w:val="1"/>
      <w:numFmt w:val="bullet"/>
      <w:lvlText w:val=""/>
      <w:lvlJc w:val="left"/>
      <w:pPr>
        <w:ind w:left="4590" w:hanging="360"/>
      </w:pPr>
      <w:rPr>
        <w:rFonts w:ascii="Wingdings" w:hAnsi="Wingdings" w:hint="default"/>
      </w:rPr>
    </w:lvl>
    <w:lvl w:ilvl="6" w:tplc="CEA8ACD6" w:tentative="1">
      <w:start w:val="1"/>
      <w:numFmt w:val="bullet"/>
      <w:lvlText w:val=""/>
      <w:lvlJc w:val="left"/>
      <w:pPr>
        <w:ind w:left="5310" w:hanging="360"/>
      </w:pPr>
      <w:rPr>
        <w:rFonts w:ascii="Symbol" w:hAnsi="Symbol" w:hint="default"/>
      </w:rPr>
    </w:lvl>
    <w:lvl w:ilvl="7" w:tplc="3C3E7F8C" w:tentative="1">
      <w:start w:val="1"/>
      <w:numFmt w:val="bullet"/>
      <w:lvlText w:val="o"/>
      <w:lvlJc w:val="left"/>
      <w:pPr>
        <w:ind w:left="6030" w:hanging="360"/>
      </w:pPr>
      <w:rPr>
        <w:rFonts w:ascii="Courier New" w:hAnsi="Courier New" w:hint="default"/>
      </w:rPr>
    </w:lvl>
    <w:lvl w:ilvl="8" w:tplc="7C80C9D8" w:tentative="1">
      <w:start w:val="1"/>
      <w:numFmt w:val="bullet"/>
      <w:lvlText w:val=""/>
      <w:lvlJc w:val="left"/>
      <w:pPr>
        <w:ind w:left="6750" w:hanging="360"/>
      </w:pPr>
      <w:rPr>
        <w:rFonts w:ascii="Wingdings" w:hAnsi="Wingdings" w:hint="default"/>
      </w:rPr>
    </w:lvl>
  </w:abstractNum>
  <w:abstractNum w:abstractNumId="2" w15:restartNumberingAfterBreak="0">
    <w:nsid w:val="25F42B3A"/>
    <w:multiLevelType w:val="hybridMultilevel"/>
    <w:tmpl w:val="E31EAF06"/>
    <w:lvl w:ilvl="0" w:tplc="615C6D92">
      <w:start w:val="1"/>
      <w:numFmt w:val="bullet"/>
      <w:pStyle w:val="RedBullets"/>
      <w:lvlText w:val=""/>
      <w:lvlJc w:val="left"/>
      <w:pPr>
        <w:ind w:left="994" w:hanging="360"/>
      </w:pPr>
      <w:rPr>
        <w:rFonts w:ascii="Symbol" w:hAnsi="Symbol" w:hint="default"/>
        <w:color w:val="D32E30" w:themeColor="accent2"/>
      </w:rPr>
    </w:lvl>
    <w:lvl w:ilvl="1" w:tplc="DD4EA634">
      <w:start w:val="1"/>
      <w:numFmt w:val="bullet"/>
      <w:lvlText w:val="o"/>
      <w:lvlJc w:val="left"/>
      <w:pPr>
        <w:ind w:left="1714" w:hanging="360"/>
      </w:pPr>
      <w:rPr>
        <w:rFonts w:ascii="Courier New" w:hAnsi="Courier New" w:hint="default"/>
      </w:rPr>
    </w:lvl>
    <w:lvl w:ilvl="2" w:tplc="B5923618" w:tentative="1">
      <w:start w:val="1"/>
      <w:numFmt w:val="bullet"/>
      <w:lvlText w:val=""/>
      <w:lvlJc w:val="left"/>
      <w:pPr>
        <w:ind w:left="2434" w:hanging="360"/>
      </w:pPr>
      <w:rPr>
        <w:rFonts w:ascii="Wingdings" w:hAnsi="Wingdings" w:hint="default"/>
      </w:rPr>
    </w:lvl>
    <w:lvl w:ilvl="3" w:tplc="C7663410" w:tentative="1">
      <w:start w:val="1"/>
      <w:numFmt w:val="bullet"/>
      <w:lvlText w:val=""/>
      <w:lvlJc w:val="left"/>
      <w:pPr>
        <w:ind w:left="3154" w:hanging="360"/>
      </w:pPr>
      <w:rPr>
        <w:rFonts w:ascii="Symbol" w:hAnsi="Symbol" w:hint="default"/>
      </w:rPr>
    </w:lvl>
    <w:lvl w:ilvl="4" w:tplc="BC92B238" w:tentative="1">
      <w:start w:val="1"/>
      <w:numFmt w:val="bullet"/>
      <w:lvlText w:val="o"/>
      <w:lvlJc w:val="left"/>
      <w:pPr>
        <w:ind w:left="3874" w:hanging="360"/>
      </w:pPr>
      <w:rPr>
        <w:rFonts w:ascii="Courier New" w:hAnsi="Courier New" w:hint="default"/>
      </w:rPr>
    </w:lvl>
    <w:lvl w:ilvl="5" w:tplc="7AA0CE82" w:tentative="1">
      <w:start w:val="1"/>
      <w:numFmt w:val="bullet"/>
      <w:lvlText w:val=""/>
      <w:lvlJc w:val="left"/>
      <w:pPr>
        <w:ind w:left="4594" w:hanging="360"/>
      </w:pPr>
      <w:rPr>
        <w:rFonts w:ascii="Wingdings" w:hAnsi="Wingdings" w:hint="default"/>
      </w:rPr>
    </w:lvl>
    <w:lvl w:ilvl="6" w:tplc="F05EEFD4" w:tentative="1">
      <w:start w:val="1"/>
      <w:numFmt w:val="bullet"/>
      <w:lvlText w:val=""/>
      <w:lvlJc w:val="left"/>
      <w:pPr>
        <w:ind w:left="5314" w:hanging="360"/>
      </w:pPr>
      <w:rPr>
        <w:rFonts w:ascii="Symbol" w:hAnsi="Symbol" w:hint="default"/>
      </w:rPr>
    </w:lvl>
    <w:lvl w:ilvl="7" w:tplc="1B48D904" w:tentative="1">
      <w:start w:val="1"/>
      <w:numFmt w:val="bullet"/>
      <w:lvlText w:val="o"/>
      <w:lvlJc w:val="left"/>
      <w:pPr>
        <w:ind w:left="6034" w:hanging="360"/>
      </w:pPr>
      <w:rPr>
        <w:rFonts w:ascii="Courier New" w:hAnsi="Courier New" w:hint="default"/>
      </w:rPr>
    </w:lvl>
    <w:lvl w:ilvl="8" w:tplc="16B20932" w:tentative="1">
      <w:start w:val="1"/>
      <w:numFmt w:val="bullet"/>
      <w:lvlText w:val=""/>
      <w:lvlJc w:val="left"/>
      <w:pPr>
        <w:ind w:left="6754" w:hanging="360"/>
      </w:pPr>
      <w:rPr>
        <w:rFonts w:ascii="Wingdings" w:hAnsi="Wingdings" w:hint="default"/>
      </w:rPr>
    </w:lvl>
  </w:abstractNum>
  <w:abstractNum w:abstractNumId="3" w15:restartNumberingAfterBreak="0">
    <w:nsid w:val="327E59D3"/>
    <w:multiLevelType w:val="hybridMultilevel"/>
    <w:tmpl w:val="97D2F3F4"/>
    <w:lvl w:ilvl="0" w:tplc="D936A9F2">
      <w:start w:val="1"/>
      <w:numFmt w:val="bullet"/>
      <w:lvlText w:val=""/>
      <w:lvlJc w:val="left"/>
      <w:pPr>
        <w:ind w:left="720" w:hanging="360"/>
      </w:pPr>
      <w:rPr>
        <w:rFonts w:ascii="Symbol" w:hAnsi="Symbol" w:hint="default"/>
        <w:color w:val="D32E30" w:themeColor="accent2"/>
      </w:rPr>
    </w:lvl>
    <w:lvl w:ilvl="1" w:tplc="56489890" w:tentative="1">
      <w:start w:val="1"/>
      <w:numFmt w:val="bullet"/>
      <w:lvlText w:val="o"/>
      <w:lvlJc w:val="left"/>
      <w:pPr>
        <w:ind w:left="1170" w:hanging="360"/>
      </w:pPr>
      <w:rPr>
        <w:rFonts w:ascii="Courier New" w:hAnsi="Courier New" w:hint="default"/>
      </w:rPr>
    </w:lvl>
    <w:lvl w:ilvl="2" w:tplc="785008FA" w:tentative="1">
      <w:start w:val="1"/>
      <w:numFmt w:val="bullet"/>
      <w:lvlText w:val=""/>
      <w:lvlJc w:val="left"/>
      <w:pPr>
        <w:ind w:left="1890" w:hanging="360"/>
      </w:pPr>
      <w:rPr>
        <w:rFonts w:ascii="Wingdings" w:hAnsi="Wingdings" w:hint="default"/>
      </w:rPr>
    </w:lvl>
    <w:lvl w:ilvl="3" w:tplc="DFDEDBDE" w:tentative="1">
      <w:start w:val="1"/>
      <w:numFmt w:val="bullet"/>
      <w:lvlText w:val=""/>
      <w:lvlJc w:val="left"/>
      <w:pPr>
        <w:ind w:left="2610" w:hanging="360"/>
      </w:pPr>
      <w:rPr>
        <w:rFonts w:ascii="Symbol" w:hAnsi="Symbol" w:hint="default"/>
      </w:rPr>
    </w:lvl>
    <w:lvl w:ilvl="4" w:tplc="7E8C471E" w:tentative="1">
      <w:start w:val="1"/>
      <w:numFmt w:val="bullet"/>
      <w:lvlText w:val="o"/>
      <w:lvlJc w:val="left"/>
      <w:pPr>
        <w:ind w:left="3330" w:hanging="360"/>
      </w:pPr>
      <w:rPr>
        <w:rFonts w:ascii="Courier New" w:hAnsi="Courier New" w:hint="default"/>
      </w:rPr>
    </w:lvl>
    <w:lvl w:ilvl="5" w:tplc="A0FC5F5E" w:tentative="1">
      <w:start w:val="1"/>
      <w:numFmt w:val="bullet"/>
      <w:lvlText w:val=""/>
      <w:lvlJc w:val="left"/>
      <w:pPr>
        <w:ind w:left="4050" w:hanging="360"/>
      </w:pPr>
      <w:rPr>
        <w:rFonts w:ascii="Wingdings" w:hAnsi="Wingdings" w:hint="default"/>
      </w:rPr>
    </w:lvl>
    <w:lvl w:ilvl="6" w:tplc="3076ACB6" w:tentative="1">
      <w:start w:val="1"/>
      <w:numFmt w:val="bullet"/>
      <w:lvlText w:val=""/>
      <w:lvlJc w:val="left"/>
      <w:pPr>
        <w:ind w:left="4770" w:hanging="360"/>
      </w:pPr>
      <w:rPr>
        <w:rFonts w:ascii="Symbol" w:hAnsi="Symbol" w:hint="default"/>
      </w:rPr>
    </w:lvl>
    <w:lvl w:ilvl="7" w:tplc="549A24D4" w:tentative="1">
      <w:start w:val="1"/>
      <w:numFmt w:val="bullet"/>
      <w:lvlText w:val="o"/>
      <w:lvlJc w:val="left"/>
      <w:pPr>
        <w:ind w:left="5490" w:hanging="360"/>
      </w:pPr>
      <w:rPr>
        <w:rFonts w:ascii="Courier New" w:hAnsi="Courier New" w:hint="default"/>
      </w:rPr>
    </w:lvl>
    <w:lvl w:ilvl="8" w:tplc="404AE540" w:tentative="1">
      <w:start w:val="1"/>
      <w:numFmt w:val="bullet"/>
      <w:lvlText w:val=""/>
      <w:lvlJc w:val="left"/>
      <w:pPr>
        <w:ind w:left="621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1"/>
  </w:docVars>
  <w:rsids>
    <w:rsidRoot w:val="00C41ABA"/>
    <w:rsid w:val="002A055F"/>
    <w:rsid w:val="00771482"/>
    <w:rsid w:val="009E6471"/>
    <w:rsid w:val="00C41ABA"/>
    <w:rsid w:val="00C6370F"/>
    <w:rsid w:val="00E00D1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5:docId w15:val="{8E954F7D-4912-47B4-B6D1-2C2B6147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F61BE"/>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customStyle="1" w:styleId="Default">
    <w:name w:val="Default"/>
    <w:rsid w:val="00CF3850"/>
    <w:pPr>
      <w:autoSpaceDE w:val="0"/>
      <w:autoSpaceDN w:val="0"/>
      <w:adjustRightInd w:val="0"/>
    </w:pPr>
    <w:rPr>
      <w:rFonts w:ascii="Arial" w:eastAsiaTheme="minorHAnsi" w:hAnsi="Arial" w:cs="Arial"/>
      <w:color w:val="000000"/>
    </w:rPr>
  </w:style>
  <w:style w:type="paragraph" w:styleId="Ballontekst">
    <w:name w:val="Balloon Text"/>
    <w:basedOn w:val="Standaard"/>
    <w:link w:val="BallontekstChar"/>
    <w:uiPriority w:val="99"/>
    <w:semiHidden/>
    <w:unhideWhenUsed/>
    <w:rsid w:val="00FC4D9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C4D94"/>
    <w:rPr>
      <w:rFonts w:ascii="Segoe UI" w:hAnsi="Segoe UI" w:cs="Segoe UI"/>
      <w:sz w:val="18"/>
      <w:szCs w:val="18"/>
    </w:rPr>
  </w:style>
  <w:style w:type="character" w:styleId="Verwijzingopmerking">
    <w:name w:val="annotation reference"/>
    <w:basedOn w:val="Standaardalinea-lettertype"/>
    <w:uiPriority w:val="99"/>
    <w:semiHidden/>
    <w:unhideWhenUsed/>
    <w:rsid w:val="00AD417A"/>
    <w:rPr>
      <w:sz w:val="16"/>
      <w:szCs w:val="16"/>
    </w:rPr>
  </w:style>
  <w:style w:type="paragraph" w:styleId="Tekstopmerking">
    <w:name w:val="annotation text"/>
    <w:basedOn w:val="Standaard"/>
    <w:link w:val="TekstopmerkingChar"/>
    <w:uiPriority w:val="99"/>
    <w:semiHidden/>
    <w:unhideWhenUsed/>
    <w:rsid w:val="00AD417A"/>
    <w:pPr>
      <w:spacing w:after="180"/>
    </w:pPr>
    <w:rPr>
      <w:rFonts w:eastAsiaTheme="minorHAnsi"/>
      <w:sz w:val="20"/>
      <w:szCs w:val="20"/>
    </w:rPr>
  </w:style>
  <w:style w:type="character" w:customStyle="1" w:styleId="TekstopmerkingChar">
    <w:name w:val="Tekst opmerking Char"/>
    <w:basedOn w:val="Standaardalinea-lettertype"/>
    <w:link w:val="Tekstopmerking"/>
    <w:uiPriority w:val="99"/>
    <w:semiHidden/>
    <w:rsid w:val="00AD417A"/>
    <w:rPr>
      <w:rFonts w:eastAsia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0C750F"/>
    <w:pPr>
      <w:spacing w:after="0"/>
    </w:pPr>
    <w:rPr>
      <w:rFonts w:eastAsiaTheme="minorEastAsia"/>
      <w:b/>
      <w:bCs/>
    </w:rPr>
  </w:style>
  <w:style w:type="character" w:customStyle="1" w:styleId="OnderwerpvanopmerkingChar">
    <w:name w:val="Onderwerp van opmerking Char"/>
    <w:basedOn w:val="TekstopmerkingChar"/>
    <w:link w:val="Onderwerpvanopmerking"/>
    <w:uiPriority w:val="99"/>
    <w:semiHidden/>
    <w:rsid w:val="000C750F"/>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134107-36F9-4EB2-9CC1-335AC75513BF}">
  <ds:schemaRefs>
    <ds:schemaRef ds:uri="http://schemas.openxmlformats.org/officeDocument/2006/bibliography"/>
  </ds:schemaRefs>
</ds:datastoreItem>
</file>

<file path=customXml/itemProps2.xml><?xml version="1.0" encoding="utf-8"?>
<ds:datastoreItem xmlns:ds="http://schemas.openxmlformats.org/officeDocument/2006/customXml" ds:itemID="{5B152768-2D9C-464E-BC57-C40DA978C8FD}"/>
</file>

<file path=customXml/itemProps3.xml><?xml version="1.0" encoding="utf-8"?>
<ds:datastoreItem xmlns:ds="http://schemas.openxmlformats.org/officeDocument/2006/customXml" ds:itemID="{8B21B453-D255-414A-AC21-107012719D2B}"/>
</file>

<file path=customXml/itemProps4.xml><?xml version="1.0" encoding="utf-8"?>
<ds:datastoreItem xmlns:ds="http://schemas.openxmlformats.org/officeDocument/2006/customXml" ds:itemID="{DE241F17-3AEA-48E8-8E34-37C680616F33}"/>
</file>

<file path=docProps/app.xml><?xml version="1.0" encoding="utf-8"?>
<Properties xmlns="http://schemas.openxmlformats.org/officeDocument/2006/extended-properties" xmlns:vt="http://schemas.openxmlformats.org/officeDocument/2006/docPropsVTypes">
  <Template>38693770</Template>
  <TotalTime>4</TotalTime>
  <Pages>4</Pages>
  <Words>857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IIA</Company>
  <LinksUpToDate>false</LinksUpToDate>
  <CharactersWithSpaces>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8</cp:revision>
  <dcterms:created xsi:type="dcterms:W3CDTF">2016-11-18T19:07:00Z</dcterms:created>
  <dcterms:modified xsi:type="dcterms:W3CDTF">2017-08-21T12:47:00Z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