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046AFC" w:rsidRDefault="002242DD" w:rsidP="00AF61BE">
      <w:pPr>
        <w:pStyle w:val="TemplateHeadline"/>
        <w:rPr>
          <w:rFonts w:asciiTheme="minorHAnsi" w:hAnsiTheme="minorHAnsi" w:cstheme="minorHAnsi"/>
        </w:rPr>
      </w:pPr>
      <w:r w:rsidRPr="00046AFC">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page">
                  <wp:posOffset>2638425</wp:posOffset>
                </wp:positionV>
                <wp:extent cx="6400800" cy="21240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12407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FC4D94" w:rsidRDefault="002242DD" w:rsidP="00FC4D94">
                            <w:pPr>
                              <w:pStyle w:val="TemplateHeadline"/>
                            </w:pPr>
                            <w:bookmarkStart w:id="0" w:name="_GoBack"/>
                            <w:bookmarkEnd w:id="0"/>
                            <w:r w:rsidRPr="00FC4D94">
                              <w:rPr>
                                <w:lang w:val="nl-NL"/>
                              </w:rPr>
                              <w:t>Standaard 1220 - Beroepsmatige zorgvuldigheid</w:t>
                            </w:r>
                          </w:p>
                          <w:p w:rsidR="00CF3850" w:rsidRPr="00070281" w:rsidRDefault="002242DD" w:rsidP="00FC4D94">
                            <w:pPr>
                              <w:pStyle w:val="TemplateBodyText"/>
                              <w:rPr>
                                <w:rFonts w:asciiTheme="minorHAnsi" w:hAnsiTheme="minorHAnsi" w:cstheme="minorHAnsi"/>
                                <w:sz w:val="22"/>
                                <w:szCs w:val="22"/>
                              </w:rPr>
                            </w:pPr>
                            <w:r w:rsidRPr="00070281">
                              <w:rPr>
                                <w:rFonts w:asciiTheme="minorHAnsi" w:hAnsiTheme="minorHAnsi" w:cstheme="minorHAnsi"/>
                                <w:sz w:val="22"/>
                                <w:szCs w:val="22"/>
                                <w:lang w:val="nl-NL"/>
                              </w:rPr>
                              <w:t>Internal auditors moeten hun werkzaamheden uitvoeren met de zorg en kunde die van een verstandige en bekwame internal auditor verwacht worden. Beroepsmatige zorgvuldigheid houdt geen onfeilbaarheid in.</w:t>
                            </w:r>
                          </w:p>
                          <w:p w:rsidR="00904618" w:rsidRPr="00070281" w:rsidRDefault="002242DD" w:rsidP="00904618">
                            <w:pPr>
                              <w:pStyle w:val="TemplateBodyText"/>
                              <w:jc w:val="right"/>
                              <w:rPr>
                                <w:rFonts w:asciiTheme="minorHAnsi" w:hAnsiTheme="minorHAnsi" w:cstheme="minorHAnsi"/>
                                <w:sz w:val="22"/>
                                <w:szCs w:val="22"/>
                              </w:rPr>
                            </w:pPr>
                            <w:proofErr w:type="spellStart"/>
                            <w:r w:rsidRPr="00070281">
                              <w:rPr>
                                <w:rFonts w:asciiTheme="minorHAnsi" w:hAnsiTheme="minorHAnsi" w:cstheme="minorHAnsi"/>
                                <w:sz w:val="22"/>
                                <w:szCs w:val="22"/>
                                <w:lang w:val="nl-NL"/>
                              </w:rPr>
                              <w:t>Herziene</w:t>
                            </w:r>
                            <w:proofErr w:type="spellEnd"/>
                            <w:r w:rsidR="00AC66B4" w:rsidRPr="00070281">
                              <w:rPr>
                                <w:rFonts w:asciiTheme="minorHAnsi" w:hAnsiTheme="minorHAnsi" w:cstheme="minorHAnsi"/>
                                <w:sz w:val="22"/>
                                <w:szCs w:val="22"/>
                                <w:lang w:val="nl-NL"/>
                              </w:rPr>
                              <w:t xml:space="preserve"> </w:t>
                            </w:r>
                            <w:r w:rsidRPr="00070281">
                              <w:rPr>
                                <w:rFonts w:asciiTheme="minorHAnsi" w:hAnsiTheme="minorHAnsi" w:cstheme="minorHAnsi"/>
                                <w:i/>
                                <w:iCs/>
                                <w:sz w:val="22"/>
                                <w:szCs w:val="22"/>
                                <w:lang w:val="nl-NL"/>
                              </w:rPr>
                              <w:t xml:space="preserve">Standaarden </w:t>
                            </w:r>
                            <w:r w:rsidRPr="00070281">
                              <w:rPr>
                                <w:rFonts w:asciiTheme="minorHAnsi" w:hAnsiTheme="minorHAnsi" w:cstheme="minorHAnsi"/>
                                <w:iCs/>
                                <w:sz w:val="22"/>
                                <w:szCs w:val="22"/>
                                <w:lang w:val="nl-NL"/>
                              </w:rPr>
                              <w:t>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07.75pt;width:7in;height:167.2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f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" fillcolor="#d8d8d8 [2732]" stroked="f">
                <v:textbox inset="14.4pt,23.76pt,14.4pt,23.76pt">
                  <w:txbxContent>
                    <w:p w:rsidR="00B61C77" w:rsidRPr="00FC4D94" w:rsidRDefault="002242DD" w:rsidP="00FC4D94">
                      <w:pPr>
                        <w:pStyle w:val="TemplateHeadline"/>
                      </w:pPr>
                      <w:bookmarkStart w:id="1" w:name="_GoBack"/>
                      <w:bookmarkEnd w:id="1"/>
                      <w:r w:rsidRPr="00FC4D94">
                        <w:rPr>
                          <w:lang w:val="nl-NL"/>
                        </w:rPr>
                        <w:t>Standaard 1220 - Beroepsmatige zorgvuldigheid</w:t>
                      </w:r>
                    </w:p>
                    <w:p w:rsidR="00CF3850" w:rsidRPr="00070281" w:rsidRDefault="002242DD" w:rsidP="00FC4D94">
                      <w:pPr>
                        <w:pStyle w:val="TemplateBodyText"/>
                        <w:rPr>
                          <w:rFonts w:asciiTheme="minorHAnsi" w:hAnsiTheme="minorHAnsi" w:cstheme="minorHAnsi"/>
                          <w:sz w:val="22"/>
                          <w:szCs w:val="22"/>
                        </w:rPr>
                      </w:pPr>
                      <w:r w:rsidRPr="00070281">
                        <w:rPr>
                          <w:rFonts w:asciiTheme="minorHAnsi" w:hAnsiTheme="minorHAnsi" w:cstheme="minorHAnsi"/>
                          <w:sz w:val="22"/>
                          <w:szCs w:val="22"/>
                          <w:lang w:val="nl-NL"/>
                        </w:rPr>
                        <w:t>Internal auditors moeten hun werkzaamheden uitvoeren met de zorg en kunde die van een verstandige en bekwame internal auditor verwacht worden. Beroepsmatige zorgvuldigheid houdt geen onfeilbaarheid in.</w:t>
                      </w:r>
                    </w:p>
                    <w:p w:rsidR="00904618" w:rsidRPr="00070281" w:rsidRDefault="002242DD" w:rsidP="00904618">
                      <w:pPr>
                        <w:pStyle w:val="TemplateBodyText"/>
                        <w:jc w:val="right"/>
                        <w:rPr>
                          <w:rFonts w:asciiTheme="minorHAnsi" w:hAnsiTheme="minorHAnsi" w:cstheme="minorHAnsi"/>
                          <w:sz w:val="22"/>
                          <w:szCs w:val="22"/>
                        </w:rPr>
                      </w:pPr>
                      <w:proofErr w:type="spellStart"/>
                      <w:r w:rsidRPr="00070281">
                        <w:rPr>
                          <w:rFonts w:asciiTheme="minorHAnsi" w:hAnsiTheme="minorHAnsi" w:cstheme="minorHAnsi"/>
                          <w:sz w:val="22"/>
                          <w:szCs w:val="22"/>
                          <w:lang w:val="nl-NL"/>
                        </w:rPr>
                        <w:t>Herziene</w:t>
                      </w:r>
                      <w:proofErr w:type="spellEnd"/>
                      <w:r w:rsidR="00AC66B4" w:rsidRPr="00070281">
                        <w:rPr>
                          <w:rFonts w:asciiTheme="minorHAnsi" w:hAnsiTheme="minorHAnsi" w:cstheme="minorHAnsi"/>
                          <w:sz w:val="22"/>
                          <w:szCs w:val="22"/>
                          <w:lang w:val="nl-NL"/>
                        </w:rPr>
                        <w:t xml:space="preserve"> </w:t>
                      </w:r>
                      <w:r w:rsidRPr="00070281">
                        <w:rPr>
                          <w:rFonts w:asciiTheme="minorHAnsi" w:hAnsiTheme="minorHAnsi" w:cstheme="minorHAnsi"/>
                          <w:i/>
                          <w:iCs/>
                          <w:sz w:val="22"/>
                          <w:szCs w:val="22"/>
                          <w:lang w:val="nl-NL"/>
                        </w:rPr>
                        <w:t xml:space="preserve">Standaarden </w:t>
                      </w:r>
                      <w:r w:rsidRPr="00070281">
                        <w:rPr>
                          <w:rFonts w:asciiTheme="minorHAnsi" w:hAnsiTheme="minorHAnsi" w:cstheme="minorHAnsi"/>
                          <w:iCs/>
                          <w:sz w:val="22"/>
                          <w:szCs w:val="22"/>
                          <w:lang w:val="nl-NL"/>
                        </w:rPr>
                        <w:t>die per 1 januari 2017 van kracht zijn</w:t>
                      </w:r>
                    </w:p>
                  </w:txbxContent>
                </v:textbox>
                <w10:wrap type="square" anchorx="margin" anchory="page"/>
              </v:shape>
            </w:pict>
          </mc:Fallback>
        </mc:AlternateContent>
      </w:r>
      <w:r w:rsidRPr="00046AFC">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2242DD"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1220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2242DD"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1220</w:t>
                      </w:r>
                    </w:p>
                  </w:txbxContent>
                </v:textbox>
                <w10:wrap type="square" anchorx="page" anchory="page"/>
              </v:shape>
            </w:pict>
          </mc:Fallback>
        </mc:AlternateContent>
      </w:r>
      <w:r w:rsidRPr="00046AFC">
        <w:rPr>
          <w:rFonts w:asciiTheme="minorHAnsi" w:hAnsiTheme="minorHAnsi" w:cstheme="minorHAnsi"/>
          <w:lang w:val="nl-NL"/>
        </w:rPr>
        <w:t>Inleiding</w:t>
      </w:r>
    </w:p>
    <w:p w:rsidR="001D3861" w:rsidRPr="00046AFC" w:rsidRDefault="002242DD" w:rsidP="000434D4">
      <w:pPr>
        <w:pStyle w:val="TemplateBodyText"/>
        <w:rPr>
          <w:rFonts w:asciiTheme="minorHAnsi" w:hAnsiTheme="minorHAnsi" w:cstheme="minorHAnsi"/>
          <w:sz w:val="22"/>
          <w:szCs w:val="22"/>
        </w:rPr>
      </w:pPr>
      <w:r w:rsidRPr="00046AFC">
        <w:rPr>
          <w:rFonts w:asciiTheme="minorHAnsi" w:hAnsiTheme="minorHAnsi" w:cstheme="minorHAnsi"/>
          <w:sz w:val="22"/>
          <w:szCs w:val="22"/>
          <w:lang w:val="nl-NL"/>
        </w:rPr>
        <w:t xml:space="preserve">Passende opleidingen, werkervaring, certificeringen en trainingen stellen internal auditors in staat om de vaardigheden en expertise te ontwikkelen die nodig zijn om hun werkzaamheden met beroepsmatige zorgvuldigheid te verrichten. Daarnaast moeten internal auditors de verplichte richtlijnen in het </w:t>
      </w:r>
      <w:r w:rsidRPr="00046AFC">
        <w:rPr>
          <w:rFonts w:asciiTheme="minorHAnsi" w:hAnsiTheme="minorHAnsi" w:cstheme="minorHAnsi"/>
          <w:i/>
          <w:iCs/>
          <w:sz w:val="22"/>
          <w:szCs w:val="22"/>
          <w:lang w:val="nl-NL"/>
        </w:rPr>
        <w:t xml:space="preserve">International Professional </w:t>
      </w:r>
      <w:proofErr w:type="spellStart"/>
      <w:r w:rsidRPr="00046AFC">
        <w:rPr>
          <w:rFonts w:asciiTheme="minorHAnsi" w:hAnsiTheme="minorHAnsi" w:cstheme="minorHAnsi"/>
          <w:i/>
          <w:iCs/>
          <w:sz w:val="22"/>
          <w:szCs w:val="22"/>
          <w:lang w:val="nl-NL"/>
        </w:rPr>
        <w:t>Practices</w:t>
      </w:r>
      <w:proofErr w:type="spellEnd"/>
      <w:r w:rsidRPr="00046AFC">
        <w:rPr>
          <w:rFonts w:asciiTheme="minorHAnsi" w:hAnsiTheme="minorHAnsi" w:cstheme="minorHAnsi"/>
          <w:i/>
          <w:iCs/>
          <w:sz w:val="22"/>
          <w:szCs w:val="22"/>
          <w:lang w:val="nl-NL"/>
        </w:rPr>
        <w:t xml:space="preserve"> Framework </w:t>
      </w:r>
      <w:r w:rsidRPr="00046AFC">
        <w:rPr>
          <w:rFonts w:asciiTheme="minorHAnsi" w:hAnsiTheme="minorHAnsi" w:cstheme="minorHAnsi"/>
          <w:sz w:val="22"/>
          <w:szCs w:val="22"/>
          <w:lang w:val="nl-NL"/>
        </w:rPr>
        <w:t xml:space="preserve">(IPPF) van het IIA begrijpen en toepassen, en kan het nuttig zijn dat zij zich verdiepen in de kerncompetenties zoals uiteengezet in het </w:t>
      </w:r>
      <w:r w:rsidRPr="00046AFC">
        <w:rPr>
          <w:rFonts w:asciiTheme="minorHAnsi" w:hAnsiTheme="minorHAnsi" w:cstheme="minorHAnsi"/>
          <w:i/>
          <w:iCs/>
          <w:sz w:val="22"/>
          <w:szCs w:val="22"/>
          <w:lang w:val="nl-NL"/>
        </w:rPr>
        <w:t>Global Internal Audit Competency Framework</w:t>
      </w:r>
      <w:r w:rsidRPr="00046AFC">
        <w:rPr>
          <w:rFonts w:asciiTheme="minorHAnsi" w:hAnsiTheme="minorHAnsi" w:cstheme="minorHAnsi"/>
          <w:sz w:val="22"/>
          <w:szCs w:val="22"/>
          <w:lang w:val="nl-NL"/>
        </w:rPr>
        <w:t xml:space="preserve"> van het IIA.</w:t>
      </w:r>
    </w:p>
    <w:p w:rsidR="00BF6C8A" w:rsidRPr="00046AFC" w:rsidRDefault="002242DD" w:rsidP="009A2988">
      <w:pPr>
        <w:pStyle w:val="TemplateBodyText"/>
        <w:spacing w:after="100" w:afterAutospacing="1"/>
        <w:rPr>
          <w:rFonts w:asciiTheme="minorHAnsi" w:hAnsiTheme="minorHAnsi" w:cstheme="minorHAnsi"/>
          <w:sz w:val="22"/>
          <w:szCs w:val="22"/>
          <w:lang w:val="nl-NL"/>
        </w:rPr>
      </w:pPr>
      <w:r w:rsidRPr="00046AFC">
        <w:rPr>
          <w:rFonts w:asciiTheme="minorHAnsi" w:hAnsiTheme="minorHAnsi" w:cstheme="minorHAnsi"/>
          <w:sz w:val="22"/>
          <w:szCs w:val="22"/>
          <w:lang w:val="nl-NL"/>
        </w:rPr>
        <w:t xml:space="preserve">Op opdrachtniveau houdt beroepsmatige zorgvuldigheid kennis in van de doelstellingen en reikwijdte van de opdracht en de competenties die vereist zijn voor de uitvoering van de auditwerkzaamheden, en kennis van eventuele beleidsregels en procedures die specifiek zijn voor de internal </w:t>
      </w:r>
      <w:r w:rsidR="00070281" w:rsidRPr="00046AFC">
        <w:rPr>
          <w:rFonts w:asciiTheme="minorHAnsi" w:hAnsiTheme="minorHAnsi" w:cstheme="minorHAnsi"/>
          <w:sz w:val="22"/>
          <w:szCs w:val="22"/>
          <w:lang w:val="nl-NL"/>
        </w:rPr>
        <w:t>auditfunctie en de organisatie.</w:t>
      </w:r>
    </w:p>
    <w:p w:rsidR="00070281" w:rsidRPr="00046AFC" w:rsidRDefault="00070281" w:rsidP="009A2988">
      <w:pPr>
        <w:pStyle w:val="TemplateBodyText"/>
        <w:spacing w:after="100" w:afterAutospacing="1"/>
        <w:rPr>
          <w:rFonts w:asciiTheme="minorHAnsi" w:hAnsiTheme="minorHAnsi" w:cstheme="minorHAnsi"/>
          <w:sz w:val="22"/>
          <w:szCs w:val="22"/>
        </w:rPr>
      </w:pPr>
    </w:p>
    <w:p w:rsidR="00CF3850" w:rsidRPr="00046AFC" w:rsidRDefault="002242DD" w:rsidP="009A2988">
      <w:pPr>
        <w:pStyle w:val="TemplateHeadline"/>
        <w:spacing w:before="100" w:beforeAutospacing="1" w:after="100" w:afterAutospacing="1"/>
        <w:rPr>
          <w:rFonts w:asciiTheme="minorHAnsi" w:hAnsiTheme="minorHAnsi" w:cstheme="minorHAnsi"/>
        </w:rPr>
      </w:pPr>
      <w:r w:rsidRPr="00046AFC">
        <w:rPr>
          <w:rFonts w:asciiTheme="minorHAnsi" w:hAnsiTheme="minorHAnsi" w:cstheme="minorHAnsi"/>
          <w:lang w:val="nl-NL"/>
        </w:rPr>
        <w:lastRenderedPageBreak/>
        <w:t>Overwegingen bij de implementatie</w:t>
      </w:r>
    </w:p>
    <w:p w:rsidR="0055236C" w:rsidRPr="00046AFC" w:rsidRDefault="002242DD" w:rsidP="00267700">
      <w:pPr>
        <w:pStyle w:val="TemplateBodyText"/>
        <w:rPr>
          <w:rFonts w:asciiTheme="minorHAnsi" w:hAnsiTheme="minorHAnsi" w:cstheme="minorHAnsi"/>
          <w:sz w:val="22"/>
          <w:szCs w:val="22"/>
        </w:rPr>
      </w:pPr>
      <w:r w:rsidRPr="00046AFC">
        <w:rPr>
          <w:rFonts w:asciiTheme="minorHAnsi" w:hAnsiTheme="minorHAnsi" w:cstheme="minorHAnsi"/>
          <w:sz w:val="22"/>
          <w:szCs w:val="22"/>
          <w:lang w:val="nl-NL"/>
        </w:rPr>
        <w:t xml:space="preserve">Voor internal auditors vereist beroepsmatige zorgvuldigheid naleving van de IIA-Gedragscode, en daarnaast naleving van de gedragscode van de organisatie en eventuele andere gedragscodes die betrekking hebben op overige beroepskwalificaties die zij hebben behaald. Mogelijk heeft de internal auditfunctie een formeel proces dat vereist dat de internal auditor een jaarlijkse verklaring ondertekent inzake de IIA-Gedragscode of de gedragscode van de organisatie. </w:t>
      </w:r>
    </w:p>
    <w:p w:rsidR="009A674D" w:rsidRPr="00046AFC" w:rsidRDefault="002242DD" w:rsidP="00267700">
      <w:pPr>
        <w:pStyle w:val="TemplateBodyText"/>
        <w:rPr>
          <w:rFonts w:asciiTheme="minorHAnsi" w:hAnsiTheme="minorHAnsi" w:cstheme="minorHAnsi"/>
          <w:sz w:val="22"/>
          <w:szCs w:val="22"/>
        </w:rPr>
      </w:pPr>
      <w:r w:rsidRPr="00046AFC">
        <w:rPr>
          <w:rFonts w:asciiTheme="minorHAnsi" w:hAnsiTheme="minorHAnsi" w:cstheme="minorHAnsi"/>
          <w:sz w:val="22"/>
          <w:szCs w:val="22"/>
          <w:lang w:val="nl-NL"/>
        </w:rPr>
        <w:t xml:space="preserve">De beleidsregels en procedures van de internal auditfunctie voorzien samen met het IPPF in een systematische en gedisciplineerde aanpak van de planning, uitvoering en documentatie van de internal auditwerkzaamheden. Internal auditors betrachten in wezen beroepsmatige zorgvuldigheid als zij deze systematische en gedisciplineerde aanpak toepassen. Wat beroepsmatige zorgvuldigheid inhoudt, is echter deels afhankelijk van de complexiteit van de opdracht. De elementen die internal auditors bij het betrachten van beroepsmatige zorgvuldigheid in aanmerking moeten nemen worden beschreven in Standaard 1220.A1, 1220.A2, 1220.A3 en 1220.C1. Internal auditors moeten bijvoorbeeld de mogelijkheid van ernstige fouten, fraude en niet-naleving in aanmerking nemen en in dezelfde mate toetsingen en verificaties uitvoeren als een verstandige en bekwame internal auditor zou doen in dezelfde of soortgelijke omstandigheden. In Standaard 1220 staat echter ook dat beroepsmatige zorgvuldigheid geen onfeilbaarheid inhoudt. Van internal auditors wordt dan ook niet verwacht dat zij zekerheid verschaffen dat zich geen niet-naleving of onregelmatigheden hebben voorgedaan. </w:t>
      </w:r>
    </w:p>
    <w:p w:rsidR="00BF6C8A" w:rsidRPr="00046AFC" w:rsidRDefault="002242DD" w:rsidP="00267700">
      <w:pPr>
        <w:pStyle w:val="TemplateBodyText"/>
        <w:rPr>
          <w:rFonts w:asciiTheme="minorHAnsi" w:hAnsiTheme="minorHAnsi" w:cstheme="minorHAnsi"/>
          <w:sz w:val="22"/>
          <w:szCs w:val="22"/>
        </w:rPr>
      </w:pPr>
      <w:r w:rsidRPr="00046AFC">
        <w:rPr>
          <w:rFonts w:asciiTheme="minorHAnsi" w:hAnsiTheme="minorHAnsi" w:cstheme="minorHAnsi"/>
          <w:sz w:val="22"/>
          <w:szCs w:val="22"/>
          <w:lang w:val="nl-NL"/>
        </w:rPr>
        <w:t xml:space="preserve">Om beroepsmatige zorgvuldigheid op opdrachtniveau te waarborgen, vereist Standaard 2340 </w:t>
      </w:r>
      <w:r w:rsidRPr="00046AFC">
        <w:rPr>
          <w:rFonts w:asciiTheme="minorHAnsi" w:hAnsiTheme="minorHAnsi" w:cstheme="minorHAnsi"/>
          <w:i/>
          <w:iCs/>
          <w:sz w:val="22"/>
          <w:szCs w:val="22"/>
          <w:lang w:val="nl-NL"/>
        </w:rPr>
        <w:t>Toezicht op de opdracht</w:t>
      </w:r>
      <w:r w:rsidRPr="00046AFC">
        <w:rPr>
          <w:rFonts w:asciiTheme="minorHAnsi" w:hAnsiTheme="minorHAnsi" w:cstheme="minorHAnsi"/>
          <w:sz w:val="22"/>
          <w:szCs w:val="22"/>
          <w:lang w:val="nl-NL"/>
        </w:rPr>
        <w:t xml:space="preserve"> dat er adequaat toezicht op opdrachten wordt gehouden. In het algemeen houdt dit in dat de leidinggevenden de </w:t>
      </w:r>
      <w:proofErr w:type="spellStart"/>
      <w:r w:rsidRPr="00046AFC">
        <w:rPr>
          <w:rFonts w:asciiTheme="minorHAnsi" w:hAnsiTheme="minorHAnsi" w:cstheme="minorHAnsi"/>
          <w:sz w:val="22"/>
          <w:szCs w:val="22"/>
          <w:lang w:val="nl-NL"/>
        </w:rPr>
        <w:t>workpapers</w:t>
      </w:r>
      <w:proofErr w:type="spellEnd"/>
      <w:r w:rsidRPr="00046AFC">
        <w:rPr>
          <w:rFonts w:asciiTheme="minorHAnsi" w:hAnsiTheme="minorHAnsi" w:cstheme="minorHAnsi"/>
          <w:sz w:val="22"/>
          <w:szCs w:val="22"/>
          <w:lang w:val="nl-NL"/>
        </w:rPr>
        <w:t xml:space="preserve">, resultaten en te rapporteren bevindingen van de opdracht beoordelen. Na dergelijke beoordelingen geven leidinggevenden doorgaans feedback aan de internal auditors die de opdracht hebben uitgevoerd. Vaak gebeurt dit via gesprekken na afloop van de opdracht. Ook kan na afloop van de opdracht via een vragenlijst feedback worden vergaard bij opdrachtgevers over de vakbekwaamheid van de internal auditors. </w:t>
      </w:r>
    </w:p>
    <w:p w:rsidR="00364D69" w:rsidRPr="00046AFC" w:rsidRDefault="002242DD" w:rsidP="009A2988">
      <w:pPr>
        <w:pStyle w:val="TemplateBodyText"/>
        <w:spacing w:after="100" w:afterAutospacing="1"/>
        <w:rPr>
          <w:rFonts w:asciiTheme="minorHAnsi" w:hAnsiTheme="minorHAnsi" w:cstheme="minorHAnsi"/>
          <w:sz w:val="22"/>
          <w:szCs w:val="22"/>
        </w:rPr>
      </w:pPr>
      <w:r w:rsidRPr="00046AFC">
        <w:rPr>
          <w:rFonts w:asciiTheme="minorHAnsi" w:hAnsiTheme="minorHAnsi" w:cstheme="minorHAnsi"/>
          <w:sz w:val="22"/>
          <w:szCs w:val="22"/>
          <w:lang w:val="nl-NL"/>
        </w:rPr>
        <w:t xml:space="preserve">In het kader van het management van de internal auditfunctie (reeks 2000 van de Standaarden) en de implementatie van het programma voor kwaliteitsbewaking en -verbetering (reeks 1300 van de Standaarden) is het hoofd van de internal auditfunctie (Chief Audit Executive (CAE)) de </w:t>
      </w:r>
      <w:r w:rsidRPr="00046AFC">
        <w:rPr>
          <w:rFonts w:asciiTheme="minorHAnsi" w:hAnsiTheme="minorHAnsi" w:cstheme="minorHAnsi"/>
          <w:sz w:val="22"/>
          <w:szCs w:val="22"/>
          <w:lang w:val="nl-NL"/>
        </w:rPr>
        <w:lastRenderedPageBreak/>
        <w:t>eindverantwoordelijke voor het betrachten van beroepsmatige zorgvuldigheid. Daarom ontwikkelt de CAE gewoonlijk beoordelingsinstrumenten zoals zelfevaluaties, criteria (bijv. kritische prestatie-indicatoren) en een beoordelingsproces voor het functioneren van individuele internal auditors en de internal auditfunctie als geheel. Het functioneren van individuele auditors kan worden beoordeeld via door opdrachtgevers ingevulde vragenlijsten, alsmede beoordelingen door vakgenoten en leidinggevenden. Het functioneren van de internal auditfunctie als geheel kan worden beoordeeld via interne en externe beoordeling conform Standaard 1310 t/m 1312, alsmede door opdrachtgevers ingevulde vragenlijsten en soortgelijke vormen van feedback.</w:t>
      </w:r>
      <w:r w:rsidR="00046AFC">
        <w:rPr>
          <w:rFonts w:asciiTheme="minorHAnsi" w:hAnsiTheme="minorHAnsi" w:cstheme="minorHAnsi"/>
          <w:sz w:val="22"/>
          <w:szCs w:val="22"/>
          <w:lang w:val="nl-NL"/>
        </w:rPr>
        <w:br/>
      </w:r>
    </w:p>
    <w:p w:rsidR="00CF3850" w:rsidRPr="00046AFC" w:rsidRDefault="002242DD" w:rsidP="00A96DFB">
      <w:pPr>
        <w:pStyle w:val="TemplateHeadline"/>
        <w:keepNext/>
        <w:keepLines/>
        <w:spacing w:before="100" w:beforeAutospacing="1" w:after="100" w:afterAutospacing="1"/>
        <w:rPr>
          <w:rFonts w:asciiTheme="minorHAnsi" w:hAnsiTheme="minorHAnsi" w:cstheme="minorHAnsi"/>
        </w:rPr>
      </w:pPr>
      <w:r w:rsidRPr="00046AFC">
        <w:rPr>
          <w:rFonts w:asciiTheme="minorHAnsi" w:hAnsiTheme="minorHAnsi" w:cstheme="minorHAnsi"/>
          <w:lang w:val="nl-NL"/>
        </w:rPr>
        <w:t>Overwegingen bij het aantonen van de naleving</w:t>
      </w:r>
    </w:p>
    <w:p w:rsidR="00174305" w:rsidRPr="00046AFC" w:rsidRDefault="002242DD" w:rsidP="00A96DFB">
      <w:pPr>
        <w:pStyle w:val="TemplateBodyText"/>
        <w:keepNext/>
        <w:keepLines/>
        <w:rPr>
          <w:rFonts w:asciiTheme="minorHAnsi" w:hAnsiTheme="minorHAnsi" w:cstheme="minorHAnsi"/>
          <w:sz w:val="22"/>
          <w:szCs w:val="22"/>
        </w:rPr>
      </w:pPr>
      <w:r w:rsidRPr="00046AFC">
        <w:rPr>
          <w:rFonts w:asciiTheme="minorHAnsi" w:hAnsiTheme="minorHAnsi" w:cstheme="minorHAnsi"/>
          <w:sz w:val="22"/>
          <w:szCs w:val="22"/>
          <w:lang w:val="nl-NL"/>
        </w:rPr>
        <w:t xml:space="preserve">Internal auditors moeten door een juiste toepassing van de verplichte richtlijnen in het IPPF aantonen dat ze zich houden aan Standaard 1220. Dit kan blijken uit hun opdrachtplannen, werkprogramma's en </w:t>
      </w:r>
      <w:proofErr w:type="spellStart"/>
      <w:r w:rsidRPr="00046AFC">
        <w:rPr>
          <w:rFonts w:asciiTheme="minorHAnsi" w:hAnsiTheme="minorHAnsi" w:cstheme="minorHAnsi"/>
          <w:sz w:val="22"/>
          <w:szCs w:val="22"/>
          <w:lang w:val="nl-NL"/>
        </w:rPr>
        <w:t>workpapers</w:t>
      </w:r>
      <w:proofErr w:type="spellEnd"/>
      <w:r w:rsidRPr="00046AFC">
        <w:rPr>
          <w:rFonts w:asciiTheme="minorHAnsi" w:hAnsiTheme="minorHAnsi" w:cstheme="minorHAnsi"/>
          <w:sz w:val="22"/>
          <w:szCs w:val="22"/>
          <w:lang w:val="nl-NL"/>
        </w:rPr>
        <w:t xml:space="preserve">. In functiebeoordelingen van internal auditors kan verwezen worden naar het betrachten van beroepsmatige zorgvuldigheid. Een gepaste beoordeling van opdrachten door leidinggevenden blijkt meestal uit de documentatie hiervan in </w:t>
      </w:r>
      <w:proofErr w:type="spellStart"/>
      <w:r w:rsidRPr="00046AFC">
        <w:rPr>
          <w:rFonts w:asciiTheme="minorHAnsi" w:hAnsiTheme="minorHAnsi" w:cstheme="minorHAnsi"/>
          <w:sz w:val="22"/>
          <w:szCs w:val="22"/>
          <w:lang w:val="nl-NL"/>
        </w:rPr>
        <w:t>workpapers</w:t>
      </w:r>
      <w:proofErr w:type="spellEnd"/>
      <w:r w:rsidRPr="00046AFC">
        <w:rPr>
          <w:rFonts w:asciiTheme="minorHAnsi" w:hAnsiTheme="minorHAnsi" w:cstheme="minorHAnsi"/>
          <w:sz w:val="22"/>
          <w:szCs w:val="22"/>
          <w:lang w:val="nl-NL"/>
        </w:rPr>
        <w:t>. Beroepsmatige zorgvuldigheid kan ook worden aangetoond doordat de betreffende leidinggevende na afloop van de opdracht gesprekken houdt met de medewerkers of bij opdrachtgevers feedback vergaart via vragenlijsten of andere instrumenten. Daarnaast kan deze zorgvuldigheid worden aangetoond via een jaarlijkse verklaring inzake de IIA-Gedragscode en de gedragscode van de organisatie. Tot slot kan beroepsmatige zorgvuldigheid blijken uit interne en externe beoordelingen uitgevoerd in het kader van het programma van de internal auditfunctie voor kwaliteitsbewaking en -verbetering.</w:t>
      </w:r>
    </w:p>
    <w:p w:rsidR="006050F3" w:rsidRPr="00046AFC" w:rsidRDefault="002242DD" w:rsidP="00CF3850">
      <w:pPr>
        <w:rPr>
          <w:rFonts w:cstheme="minorHAnsi"/>
          <w:color w:val="000000"/>
          <w:lang w:val="pt-BR"/>
        </w:rPr>
      </w:pPr>
      <w:r w:rsidRPr="00046AFC">
        <w:rPr>
          <w:rFonts w:cstheme="minorHAnsi"/>
          <w:sz w:val="22"/>
          <w:szCs w:val="22"/>
          <w:lang w:val="nl-NL"/>
        </w:rPr>
        <w:br w:type="page"/>
      </w:r>
      <w:r w:rsidRPr="00046AFC">
        <w:rPr>
          <w:rFonts w:cstheme="minorHAnsi"/>
          <w:noProof/>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paragraph">
                  <wp:posOffset>2695575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242DD" w:rsidRPr="00E6381B" w:rsidRDefault="002242DD" w:rsidP="002242DD">
                            <w:pPr>
                              <w:pStyle w:val="BoilerplateHeadline"/>
                            </w:pPr>
                            <w:r w:rsidRPr="00E6381B">
                              <w:rPr>
                                <w:lang w:val="nl-NL"/>
                              </w:rPr>
                              <w:t xml:space="preserve">Over het IIA </w:t>
                            </w:r>
                          </w:p>
                          <w:p w:rsidR="002242DD" w:rsidRPr="001A0D5D" w:rsidRDefault="002242DD" w:rsidP="002242DD">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242DD" w:rsidRPr="00E6381B" w:rsidRDefault="002242DD" w:rsidP="002242DD">
                            <w:pPr>
                              <w:pStyle w:val="BoilerplateHeadline"/>
                            </w:pPr>
                            <w:r w:rsidRPr="00E6381B">
                              <w:rPr>
                                <w:lang w:val="nl-NL"/>
                              </w:rPr>
                              <w:t>Over de Implementatierichtlijnen</w:t>
                            </w:r>
                          </w:p>
                          <w:p w:rsidR="002242DD" w:rsidRDefault="002242DD" w:rsidP="002242D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242DD" w:rsidRDefault="002242DD" w:rsidP="002242D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242DD" w:rsidRDefault="002242DD" w:rsidP="002242DD">
                            <w:pPr>
                              <w:pStyle w:val="BoilerplateBodyText"/>
                              <w:ind w:right="60"/>
                            </w:pPr>
                            <w:r>
                              <w:rPr>
                                <w:lang w:val="nl-NL"/>
                              </w:rPr>
                              <w:t xml:space="preserve">Andere gezaghebbende richtlijnen van het IIA kunt u vinden op onze websites: www.globaliia.org/standards-guidance en www.theiia.org/guidance. </w:t>
                            </w:r>
                          </w:p>
                          <w:p w:rsidR="002242DD" w:rsidRDefault="002242DD" w:rsidP="002242DD">
                            <w:pPr>
                              <w:pStyle w:val="BoilerplateHeadline"/>
                            </w:pPr>
                            <w:r>
                              <w:rPr>
                                <w:lang w:val="nl-NL"/>
                              </w:rPr>
                              <w:t>Disclaimer</w:t>
                            </w:r>
                          </w:p>
                          <w:p w:rsidR="002242DD" w:rsidRDefault="002242DD" w:rsidP="002242D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242DD" w:rsidRDefault="002242DD" w:rsidP="002242DD">
                            <w:pPr>
                              <w:pStyle w:val="BoilerplateHeadline"/>
                              <w:spacing w:after="60"/>
                            </w:pPr>
                            <w:r>
                              <w:rPr>
                                <w:lang w:val="nl-NL"/>
                              </w:rPr>
                              <w:t>Auteursrecht</w:t>
                            </w:r>
                          </w:p>
                          <w:p w:rsidR="002242DD" w:rsidRDefault="002242DD" w:rsidP="002242DD">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 Toestemming voor reproductie van deze publicatie kunt u per e-mail aanvragen via guidance@theiia.org. </w:t>
                            </w:r>
                          </w:p>
                          <w:p w:rsidR="001F3151" w:rsidRPr="00E559F0" w:rsidRDefault="00155B32" w:rsidP="001F3151">
                            <w:pPr>
                              <w:pStyle w:val="BoilerplateBodyText"/>
                              <w:rPr>
                                <w:vanish/>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212.25pt;width:7in;height:404.2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" fillcolor="#d8d8d8 [2732]" stroked="f">
                <v:textbox inset="14.4pt,23.76pt,14.4pt,23.76pt">
                  <w:txbxContent>
                    <w:p w:rsidR="002242DD" w:rsidRPr="00E6381B" w:rsidRDefault="002242DD" w:rsidP="002242DD">
                      <w:pPr>
                        <w:pStyle w:val="BoilerplateHeadline"/>
                      </w:pPr>
                      <w:r w:rsidRPr="00E6381B">
                        <w:rPr>
                          <w:lang w:val="nl-NL"/>
                        </w:rPr>
                        <w:t xml:space="preserve">Over het IIA </w:t>
                      </w:r>
                    </w:p>
                    <w:p w:rsidR="002242DD" w:rsidRPr="001A0D5D" w:rsidRDefault="002242DD" w:rsidP="002242DD">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242DD" w:rsidRPr="00E6381B" w:rsidRDefault="002242DD" w:rsidP="002242DD">
                      <w:pPr>
                        <w:pStyle w:val="BoilerplateHeadline"/>
                      </w:pPr>
                      <w:r w:rsidRPr="00E6381B">
                        <w:rPr>
                          <w:lang w:val="nl-NL"/>
                        </w:rPr>
                        <w:t>Over de Implementatierichtlijnen</w:t>
                      </w:r>
                    </w:p>
                    <w:p w:rsidR="002242DD" w:rsidRDefault="002242DD" w:rsidP="002242DD">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242DD" w:rsidRDefault="002242DD" w:rsidP="002242DD">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242DD" w:rsidRDefault="002242DD" w:rsidP="002242DD">
                      <w:pPr>
                        <w:pStyle w:val="BoilerplateBodyText"/>
                        <w:ind w:right="60"/>
                      </w:pPr>
                      <w:r>
                        <w:rPr>
                          <w:lang w:val="nl-NL"/>
                        </w:rPr>
                        <w:t xml:space="preserve">Andere gezaghebbende richtlijnen van het IIA kunt u vinden op onze websites: www.globaliia.org/standards-guidance en www.theiia.org/guidance. </w:t>
                      </w:r>
                    </w:p>
                    <w:p w:rsidR="002242DD" w:rsidRDefault="002242DD" w:rsidP="002242DD">
                      <w:pPr>
                        <w:pStyle w:val="BoilerplateHeadline"/>
                      </w:pPr>
                      <w:r>
                        <w:rPr>
                          <w:lang w:val="nl-NL"/>
                        </w:rPr>
                        <w:t>Disclaimer</w:t>
                      </w:r>
                    </w:p>
                    <w:p w:rsidR="002242DD" w:rsidRDefault="002242DD" w:rsidP="002242DD">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242DD" w:rsidRDefault="002242DD" w:rsidP="002242DD">
                      <w:pPr>
                        <w:pStyle w:val="BoilerplateHeadline"/>
                        <w:spacing w:after="60"/>
                      </w:pPr>
                      <w:r>
                        <w:rPr>
                          <w:lang w:val="nl-NL"/>
                        </w:rPr>
                        <w:t>Auteursrecht</w:t>
                      </w:r>
                    </w:p>
                    <w:p w:rsidR="002242DD" w:rsidRDefault="002242DD" w:rsidP="002242DD">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 Toestemming voor reproductie van deze publicatie kunt u per e-mail aanvragen via guidance@theiia.org. </w:t>
                      </w:r>
                    </w:p>
                    <w:p w:rsidR="001F3151" w:rsidRPr="00E559F0" w:rsidRDefault="00155B32" w:rsidP="001F3151">
                      <w:pPr>
                        <w:pStyle w:val="BoilerplateBodyText"/>
                        <w:rPr>
                          <w:vanish/>
                        </w:rPr>
                      </w:pPr>
                    </w:p>
                  </w:txbxContent>
                </v:textbox>
                <w10:wrap type="square" anchorx="margin"/>
              </v:shape>
            </w:pict>
          </mc:Fallback>
        </mc:AlternateContent>
      </w:r>
    </w:p>
    <w:sectPr w:rsidR="006050F3" w:rsidRPr="00046AFC" w:rsidSect="00092D7B">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CB" w:rsidRDefault="002242DD">
      <w:r>
        <w:separator/>
      </w:r>
    </w:p>
  </w:endnote>
  <w:endnote w:type="continuationSeparator" w:id="0">
    <w:p w:rsidR="00D942CB" w:rsidRDefault="0022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2242DD"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155B32">
      <w:rPr>
        <w:rStyle w:val="Paginanummer"/>
        <w:noProof/>
        <w:color w:val="535953"/>
        <w:sz w:val="16"/>
        <w:szCs w:val="16"/>
      </w:rPr>
      <w:t>2</w:t>
    </w:r>
    <w:r w:rsidRPr="006227FD">
      <w:rPr>
        <w:rStyle w:val="Paginanummer"/>
        <w:color w:val="535953"/>
        <w:sz w:val="16"/>
        <w:szCs w:val="16"/>
      </w:rPr>
      <w:fldChar w:fldCharType="end"/>
    </w:r>
  </w:p>
  <w:p w:rsidR="00B01FFE" w:rsidRDefault="00155B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2242DD" w:rsidP="00893833">
    <w:pPr>
      <w:framePr w:wrap="around" w:vAnchor="text" w:hAnchor="page" w:x="6071" w:y="277"/>
      <w:rPr>
        <w:rStyle w:val="Paginanummer"/>
        <w:color w:val="535953"/>
        <w:sz w:val="16"/>
        <w:szCs w:val="16"/>
      </w:rPr>
    </w:pP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155B32">
      <w:rPr>
        <w:rStyle w:val="Paginanummer"/>
        <w:noProof/>
        <w:color w:val="535953"/>
        <w:sz w:val="16"/>
        <w:szCs w:val="16"/>
      </w:rPr>
      <w:t>1</w:t>
    </w:r>
    <w:r w:rsidRPr="00893833">
      <w:rPr>
        <w:rStyle w:val="Paginanummer"/>
        <w:color w:val="535953"/>
        <w:sz w:val="16"/>
        <w:szCs w:val="16"/>
      </w:rPr>
      <w:fldChar w:fldCharType="end"/>
    </w:r>
  </w:p>
  <w:p w:rsidR="00B01FFE" w:rsidRDefault="00155B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CB" w:rsidRDefault="002242DD">
      <w:r>
        <w:separator/>
      </w:r>
    </w:p>
  </w:footnote>
  <w:footnote w:type="continuationSeparator" w:id="0">
    <w:p w:rsidR="00D942CB" w:rsidRDefault="00224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242DD"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155B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242DD">
    <w:r>
      <w:rPr>
        <w:noProof/>
        <w:lang w:val="nl-NL" w:eastAsia="nl-NL"/>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2242DD">
                          <w:pPr>
                            <w:rPr>
                              <w:rFonts w:ascii="Arial" w:hAnsi="Arial" w:cs="Arial"/>
                              <w:color w:val="002239" w:themeColor="text2" w:themeShade="80"/>
                            </w:rPr>
                          </w:pPr>
                          <w:r>
                            <w:rPr>
                              <w:rFonts w:ascii="Arial" w:hAnsi="Arial" w:cs="Arial"/>
                              <w:color w:val="0F1F4B"/>
                              <w:lang w:val="nl-NL"/>
                            </w:rPr>
                            <w:t>Implementatierichtlijn 1220</w:t>
                          </w:r>
                          <w:r w:rsidR="00046AFC">
                            <w:rPr>
                              <w:rFonts w:ascii="Arial" w:hAnsi="Arial" w:cs="Arial"/>
                              <w:color w:val="002239" w:themeColor="text2" w:themeShade="80"/>
                              <w:lang w:val="nl-NL"/>
                            </w:rPr>
                            <w:t xml:space="preserve"> - </w:t>
                          </w:r>
                          <w:r>
                            <w:rPr>
                              <w:rFonts w:ascii="Arial" w:hAnsi="Arial" w:cs="Arial"/>
                              <w:color w:val="002239" w:themeColor="text2" w:themeShade="80"/>
                              <w:lang w:val="nl-NL"/>
                            </w:rPr>
                            <w:t>Beroepsmatige zorgvuldigheid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2242DD">
                    <w:pPr>
                      <w:rPr>
                        <w:rFonts w:ascii="Arial" w:hAnsi="Arial" w:cs="Arial"/>
                        <w:color w:val="002239" w:themeColor="text2" w:themeShade="80"/>
                      </w:rPr>
                    </w:pPr>
                    <w:r>
                      <w:rPr>
                        <w:rFonts w:ascii="Arial" w:hAnsi="Arial" w:cs="Arial"/>
                        <w:color w:val="0F1F4B"/>
                        <w:lang w:val="nl-NL"/>
                      </w:rPr>
                      <w:t>Implementatierichtlijn 1220</w:t>
                    </w:r>
                    <w:r w:rsidR="00046AFC">
                      <w:rPr>
                        <w:rFonts w:ascii="Arial" w:hAnsi="Arial" w:cs="Arial"/>
                        <w:color w:val="002239" w:themeColor="text2" w:themeShade="80"/>
                        <w:lang w:val="nl-NL"/>
                      </w:rPr>
                      <w:t xml:space="preserve"> - </w:t>
                    </w:r>
                    <w:r>
                      <w:rPr>
                        <w:rFonts w:ascii="Arial" w:hAnsi="Arial" w:cs="Arial"/>
                        <w:color w:val="002239" w:themeColor="text2" w:themeShade="80"/>
                        <w:lang w:val="nl-NL"/>
                      </w:rPr>
                      <w:t>Beroepsmatige zorgvuldigheid</w:t>
                    </w:r>
                  </w:p>
                </w:txbxContent>
              </v:textbox>
              <w10:wrap type="through" anchorx="page" anchory="page"/>
            </v:shape>
          </w:pict>
        </mc:Fallback>
      </mc:AlternateContent>
    </w:r>
    <w:r>
      <w:rPr>
        <w:noProof/>
        <w:lang w:val="nl-NL" w:eastAsia="nl-NL"/>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242DD">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A42"/>
    <w:multiLevelType w:val="hybridMultilevel"/>
    <w:tmpl w:val="75FA64F4"/>
    <w:lvl w:ilvl="0" w:tplc="9FB8EA78">
      <w:start w:val="1"/>
      <w:numFmt w:val="bullet"/>
      <w:lvlText w:val=""/>
      <w:lvlJc w:val="left"/>
      <w:pPr>
        <w:ind w:left="720" w:hanging="360"/>
      </w:pPr>
      <w:rPr>
        <w:rFonts w:ascii="Symbol" w:hAnsi="Symbol" w:hint="default"/>
      </w:rPr>
    </w:lvl>
    <w:lvl w:ilvl="1" w:tplc="BAEC8F96">
      <w:start w:val="1"/>
      <w:numFmt w:val="bullet"/>
      <w:lvlText w:val="o"/>
      <w:lvlJc w:val="left"/>
      <w:pPr>
        <w:ind w:left="1440" w:hanging="360"/>
      </w:pPr>
      <w:rPr>
        <w:rFonts w:ascii="Courier New" w:hAnsi="Courier New" w:cs="Courier New" w:hint="default"/>
      </w:rPr>
    </w:lvl>
    <w:lvl w:ilvl="2" w:tplc="DBB09A48" w:tentative="1">
      <w:start w:val="1"/>
      <w:numFmt w:val="bullet"/>
      <w:lvlText w:val=""/>
      <w:lvlJc w:val="left"/>
      <w:pPr>
        <w:ind w:left="2160" w:hanging="360"/>
      </w:pPr>
      <w:rPr>
        <w:rFonts w:ascii="Wingdings" w:hAnsi="Wingdings" w:hint="default"/>
      </w:rPr>
    </w:lvl>
    <w:lvl w:ilvl="3" w:tplc="4EA0AE64" w:tentative="1">
      <w:start w:val="1"/>
      <w:numFmt w:val="bullet"/>
      <w:lvlText w:val=""/>
      <w:lvlJc w:val="left"/>
      <w:pPr>
        <w:ind w:left="2880" w:hanging="360"/>
      </w:pPr>
      <w:rPr>
        <w:rFonts w:ascii="Symbol" w:hAnsi="Symbol" w:hint="default"/>
      </w:rPr>
    </w:lvl>
    <w:lvl w:ilvl="4" w:tplc="A33E09EE" w:tentative="1">
      <w:start w:val="1"/>
      <w:numFmt w:val="bullet"/>
      <w:lvlText w:val="o"/>
      <w:lvlJc w:val="left"/>
      <w:pPr>
        <w:ind w:left="3600" w:hanging="360"/>
      </w:pPr>
      <w:rPr>
        <w:rFonts w:ascii="Courier New" w:hAnsi="Courier New" w:cs="Courier New" w:hint="default"/>
      </w:rPr>
    </w:lvl>
    <w:lvl w:ilvl="5" w:tplc="5CB04618" w:tentative="1">
      <w:start w:val="1"/>
      <w:numFmt w:val="bullet"/>
      <w:lvlText w:val=""/>
      <w:lvlJc w:val="left"/>
      <w:pPr>
        <w:ind w:left="4320" w:hanging="360"/>
      </w:pPr>
      <w:rPr>
        <w:rFonts w:ascii="Wingdings" w:hAnsi="Wingdings" w:hint="default"/>
      </w:rPr>
    </w:lvl>
    <w:lvl w:ilvl="6" w:tplc="60066010" w:tentative="1">
      <w:start w:val="1"/>
      <w:numFmt w:val="bullet"/>
      <w:lvlText w:val=""/>
      <w:lvlJc w:val="left"/>
      <w:pPr>
        <w:ind w:left="5040" w:hanging="360"/>
      </w:pPr>
      <w:rPr>
        <w:rFonts w:ascii="Symbol" w:hAnsi="Symbol" w:hint="default"/>
      </w:rPr>
    </w:lvl>
    <w:lvl w:ilvl="7" w:tplc="B8006BFE" w:tentative="1">
      <w:start w:val="1"/>
      <w:numFmt w:val="bullet"/>
      <w:lvlText w:val="o"/>
      <w:lvlJc w:val="left"/>
      <w:pPr>
        <w:ind w:left="5760" w:hanging="360"/>
      </w:pPr>
      <w:rPr>
        <w:rFonts w:ascii="Courier New" w:hAnsi="Courier New" w:cs="Courier New" w:hint="default"/>
      </w:rPr>
    </w:lvl>
    <w:lvl w:ilvl="8" w:tplc="8E86492C" w:tentative="1">
      <w:start w:val="1"/>
      <w:numFmt w:val="bullet"/>
      <w:lvlText w:val=""/>
      <w:lvlJc w:val="left"/>
      <w:pPr>
        <w:ind w:left="6480" w:hanging="360"/>
      </w:pPr>
      <w:rPr>
        <w:rFonts w:ascii="Wingdings" w:hAnsi="Wingdings" w:hint="default"/>
      </w:rPr>
    </w:lvl>
  </w:abstractNum>
  <w:abstractNum w:abstractNumId="1" w15:restartNumberingAfterBreak="0">
    <w:nsid w:val="1D4A6306"/>
    <w:multiLevelType w:val="hybridMultilevel"/>
    <w:tmpl w:val="36D85A0C"/>
    <w:lvl w:ilvl="0" w:tplc="111265AE">
      <w:start w:val="1"/>
      <w:numFmt w:val="bullet"/>
      <w:lvlText w:val=""/>
      <w:lvlJc w:val="left"/>
      <w:pPr>
        <w:ind w:left="990" w:hanging="360"/>
      </w:pPr>
      <w:rPr>
        <w:rFonts w:ascii="Symbol" w:hAnsi="Symbol" w:hint="default"/>
        <w:color w:val="D32E30" w:themeColor="accent2"/>
      </w:rPr>
    </w:lvl>
    <w:lvl w:ilvl="1" w:tplc="5BBA65D6" w:tentative="1">
      <w:start w:val="1"/>
      <w:numFmt w:val="bullet"/>
      <w:lvlText w:val="o"/>
      <w:lvlJc w:val="left"/>
      <w:pPr>
        <w:ind w:left="1710" w:hanging="360"/>
      </w:pPr>
      <w:rPr>
        <w:rFonts w:ascii="Courier New" w:hAnsi="Courier New" w:hint="default"/>
      </w:rPr>
    </w:lvl>
    <w:lvl w:ilvl="2" w:tplc="25D271CA" w:tentative="1">
      <w:start w:val="1"/>
      <w:numFmt w:val="bullet"/>
      <w:lvlText w:val=""/>
      <w:lvlJc w:val="left"/>
      <w:pPr>
        <w:ind w:left="2430" w:hanging="360"/>
      </w:pPr>
      <w:rPr>
        <w:rFonts w:ascii="Wingdings" w:hAnsi="Wingdings" w:hint="default"/>
      </w:rPr>
    </w:lvl>
    <w:lvl w:ilvl="3" w:tplc="C818B8BC" w:tentative="1">
      <w:start w:val="1"/>
      <w:numFmt w:val="bullet"/>
      <w:lvlText w:val=""/>
      <w:lvlJc w:val="left"/>
      <w:pPr>
        <w:ind w:left="3150" w:hanging="360"/>
      </w:pPr>
      <w:rPr>
        <w:rFonts w:ascii="Symbol" w:hAnsi="Symbol" w:hint="default"/>
      </w:rPr>
    </w:lvl>
    <w:lvl w:ilvl="4" w:tplc="A9B89848" w:tentative="1">
      <w:start w:val="1"/>
      <w:numFmt w:val="bullet"/>
      <w:lvlText w:val="o"/>
      <w:lvlJc w:val="left"/>
      <w:pPr>
        <w:ind w:left="3870" w:hanging="360"/>
      </w:pPr>
      <w:rPr>
        <w:rFonts w:ascii="Courier New" w:hAnsi="Courier New" w:hint="default"/>
      </w:rPr>
    </w:lvl>
    <w:lvl w:ilvl="5" w:tplc="693CB7EE" w:tentative="1">
      <w:start w:val="1"/>
      <w:numFmt w:val="bullet"/>
      <w:lvlText w:val=""/>
      <w:lvlJc w:val="left"/>
      <w:pPr>
        <w:ind w:left="4590" w:hanging="360"/>
      </w:pPr>
      <w:rPr>
        <w:rFonts w:ascii="Wingdings" w:hAnsi="Wingdings" w:hint="default"/>
      </w:rPr>
    </w:lvl>
    <w:lvl w:ilvl="6" w:tplc="AED46952" w:tentative="1">
      <w:start w:val="1"/>
      <w:numFmt w:val="bullet"/>
      <w:lvlText w:val=""/>
      <w:lvlJc w:val="left"/>
      <w:pPr>
        <w:ind w:left="5310" w:hanging="360"/>
      </w:pPr>
      <w:rPr>
        <w:rFonts w:ascii="Symbol" w:hAnsi="Symbol" w:hint="default"/>
      </w:rPr>
    </w:lvl>
    <w:lvl w:ilvl="7" w:tplc="09CE6F9A" w:tentative="1">
      <w:start w:val="1"/>
      <w:numFmt w:val="bullet"/>
      <w:lvlText w:val="o"/>
      <w:lvlJc w:val="left"/>
      <w:pPr>
        <w:ind w:left="6030" w:hanging="360"/>
      </w:pPr>
      <w:rPr>
        <w:rFonts w:ascii="Courier New" w:hAnsi="Courier New" w:hint="default"/>
      </w:rPr>
    </w:lvl>
    <w:lvl w:ilvl="8" w:tplc="DBDE7DF0" w:tentative="1">
      <w:start w:val="1"/>
      <w:numFmt w:val="bullet"/>
      <w:lvlText w:val=""/>
      <w:lvlJc w:val="left"/>
      <w:pPr>
        <w:ind w:left="6750" w:hanging="360"/>
      </w:pPr>
      <w:rPr>
        <w:rFonts w:ascii="Wingdings" w:hAnsi="Wingdings" w:hint="default"/>
      </w:rPr>
    </w:lvl>
  </w:abstractNum>
  <w:abstractNum w:abstractNumId="2" w15:restartNumberingAfterBreak="0">
    <w:nsid w:val="25F42B3A"/>
    <w:multiLevelType w:val="hybridMultilevel"/>
    <w:tmpl w:val="E31EAF06"/>
    <w:lvl w:ilvl="0" w:tplc="A6883CCC">
      <w:start w:val="1"/>
      <w:numFmt w:val="bullet"/>
      <w:pStyle w:val="RedBullets"/>
      <w:lvlText w:val=""/>
      <w:lvlJc w:val="left"/>
      <w:pPr>
        <w:ind w:left="994" w:hanging="360"/>
      </w:pPr>
      <w:rPr>
        <w:rFonts w:ascii="Symbol" w:hAnsi="Symbol" w:hint="default"/>
        <w:color w:val="D32E30" w:themeColor="accent2"/>
      </w:rPr>
    </w:lvl>
    <w:lvl w:ilvl="1" w:tplc="C2B6448E">
      <w:start w:val="1"/>
      <w:numFmt w:val="bullet"/>
      <w:lvlText w:val="o"/>
      <w:lvlJc w:val="left"/>
      <w:pPr>
        <w:ind w:left="1714" w:hanging="360"/>
      </w:pPr>
      <w:rPr>
        <w:rFonts w:ascii="Courier New" w:hAnsi="Courier New" w:hint="default"/>
      </w:rPr>
    </w:lvl>
    <w:lvl w:ilvl="2" w:tplc="4CA60E90" w:tentative="1">
      <w:start w:val="1"/>
      <w:numFmt w:val="bullet"/>
      <w:lvlText w:val=""/>
      <w:lvlJc w:val="left"/>
      <w:pPr>
        <w:ind w:left="2434" w:hanging="360"/>
      </w:pPr>
      <w:rPr>
        <w:rFonts w:ascii="Wingdings" w:hAnsi="Wingdings" w:hint="default"/>
      </w:rPr>
    </w:lvl>
    <w:lvl w:ilvl="3" w:tplc="072691A4" w:tentative="1">
      <w:start w:val="1"/>
      <w:numFmt w:val="bullet"/>
      <w:lvlText w:val=""/>
      <w:lvlJc w:val="left"/>
      <w:pPr>
        <w:ind w:left="3154" w:hanging="360"/>
      </w:pPr>
      <w:rPr>
        <w:rFonts w:ascii="Symbol" w:hAnsi="Symbol" w:hint="default"/>
      </w:rPr>
    </w:lvl>
    <w:lvl w:ilvl="4" w:tplc="EE7A48FC" w:tentative="1">
      <w:start w:val="1"/>
      <w:numFmt w:val="bullet"/>
      <w:lvlText w:val="o"/>
      <w:lvlJc w:val="left"/>
      <w:pPr>
        <w:ind w:left="3874" w:hanging="360"/>
      </w:pPr>
      <w:rPr>
        <w:rFonts w:ascii="Courier New" w:hAnsi="Courier New" w:hint="default"/>
      </w:rPr>
    </w:lvl>
    <w:lvl w:ilvl="5" w:tplc="7BA87EAE" w:tentative="1">
      <w:start w:val="1"/>
      <w:numFmt w:val="bullet"/>
      <w:lvlText w:val=""/>
      <w:lvlJc w:val="left"/>
      <w:pPr>
        <w:ind w:left="4594" w:hanging="360"/>
      </w:pPr>
      <w:rPr>
        <w:rFonts w:ascii="Wingdings" w:hAnsi="Wingdings" w:hint="default"/>
      </w:rPr>
    </w:lvl>
    <w:lvl w:ilvl="6" w:tplc="80C471E0" w:tentative="1">
      <w:start w:val="1"/>
      <w:numFmt w:val="bullet"/>
      <w:lvlText w:val=""/>
      <w:lvlJc w:val="left"/>
      <w:pPr>
        <w:ind w:left="5314" w:hanging="360"/>
      </w:pPr>
      <w:rPr>
        <w:rFonts w:ascii="Symbol" w:hAnsi="Symbol" w:hint="default"/>
      </w:rPr>
    </w:lvl>
    <w:lvl w:ilvl="7" w:tplc="17B6099C" w:tentative="1">
      <w:start w:val="1"/>
      <w:numFmt w:val="bullet"/>
      <w:lvlText w:val="o"/>
      <w:lvlJc w:val="left"/>
      <w:pPr>
        <w:ind w:left="6034" w:hanging="360"/>
      </w:pPr>
      <w:rPr>
        <w:rFonts w:ascii="Courier New" w:hAnsi="Courier New" w:hint="default"/>
      </w:rPr>
    </w:lvl>
    <w:lvl w:ilvl="8" w:tplc="07023B82" w:tentative="1">
      <w:start w:val="1"/>
      <w:numFmt w:val="bullet"/>
      <w:lvlText w:val=""/>
      <w:lvlJc w:val="left"/>
      <w:pPr>
        <w:ind w:left="6754" w:hanging="360"/>
      </w:pPr>
      <w:rPr>
        <w:rFonts w:ascii="Wingdings" w:hAnsi="Wingdings" w:hint="default"/>
      </w:rPr>
    </w:lvl>
  </w:abstractNum>
  <w:abstractNum w:abstractNumId="3" w15:restartNumberingAfterBreak="0">
    <w:nsid w:val="327E59D3"/>
    <w:multiLevelType w:val="hybridMultilevel"/>
    <w:tmpl w:val="97D2F3F4"/>
    <w:lvl w:ilvl="0" w:tplc="14661410">
      <w:start w:val="1"/>
      <w:numFmt w:val="bullet"/>
      <w:lvlText w:val=""/>
      <w:lvlJc w:val="left"/>
      <w:pPr>
        <w:ind w:left="720" w:hanging="360"/>
      </w:pPr>
      <w:rPr>
        <w:rFonts w:ascii="Symbol" w:hAnsi="Symbol" w:hint="default"/>
        <w:color w:val="D32E30" w:themeColor="accent2"/>
      </w:rPr>
    </w:lvl>
    <w:lvl w:ilvl="1" w:tplc="18608F20" w:tentative="1">
      <w:start w:val="1"/>
      <w:numFmt w:val="bullet"/>
      <w:lvlText w:val="o"/>
      <w:lvlJc w:val="left"/>
      <w:pPr>
        <w:ind w:left="1170" w:hanging="360"/>
      </w:pPr>
      <w:rPr>
        <w:rFonts w:ascii="Courier New" w:hAnsi="Courier New" w:hint="default"/>
      </w:rPr>
    </w:lvl>
    <w:lvl w:ilvl="2" w:tplc="63B448E8" w:tentative="1">
      <w:start w:val="1"/>
      <w:numFmt w:val="bullet"/>
      <w:lvlText w:val=""/>
      <w:lvlJc w:val="left"/>
      <w:pPr>
        <w:ind w:left="1890" w:hanging="360"/>
      </w:pPr>
      <w:rPr>
        <w:rFonts w:ascii="Wingdings" w:hAnsi="Wingdings" w:hint="default"/>
      </w:rPr>
    </w:lvl>
    <w:lvl w:ilvl="3" w:tplc="61B0FD90" w:tentative="1">
      <w:start w:val="1"/>
      <w:numFmt w:val="bullet"/>
      <w:lvlText w:val=""/>
      <w:lvlJc w:val="left"/>
      <w:pPr>
        <w:ind w:left="2610" w:hanging="360"/>
      </w:pPr>
      <w:rPr>
        <w:rFonts w:ascii="Symbol" w:hAnsi="Symbol" w:hint="default"/>
      </w:rPr>
    </w:lvl>
    <w:lvl w:ilvl="4" w:tplc="200E24FE" w:tentative="1">
      <w:start w:val="1"/>
      <w:numFmt w:val="bullet"/>
      <w:lvlText w:val="o"/>
      <w:lvlJc w:val="left"/>
      <w:pPr>
        <w:ind w:left="3330" w:hanging="360"/>
      </w:pPr>
      <w:rPr>
        <w:rFonts w:ascii="Courier New" w:hAnsi="Courier New" w:hint="default"/>
      </w:rPr>
    </w:lvl>
    <w:lvl w:ilvl="5" w:tplc="A42A50AC" w:tentative="1">
      <w:start w:val="1"/>
      <w:numFmt w:val="bullet"/>
      <w:lvlText w:val=""/>
      <w:lvlJc w:val="left"/>
      <w:pPr>
        <w:ind w:left="4050" w:hanging="360"/>
      </w:pPr>
      <w:rPr>
        <w:rFonts w:ascii="Wingdings" w:hAnsi="Wingdings" w:hint="default"/>
      </w:rPr>
    </w:lvl>
    <w:lvl w:ilvl="6" w:tplc="3CC0DCC8" w:tentative="1">
      <w:start w:val="1"/>
      <w:numFmt w:val="bullet"/>
      <w:lvlText w:val=""/>
      <w:lvlJc w:val="left"/>
      <w:pPr>
        <w:ind w:left="4770" w:hanging="360"/>
      </w:pPr>
      <w:rPr>
        <w:rFonts w:ascii="Symbol" w:hAnsi="Symbol" w:hint="default"/>
      </w:rPr>
    </w:lvl>
    <w:lvl w:ilvl="7" w:tplc="8E46AF00" w:tentative="1">
      <w:start w:val="1"/>
      <w:numFmt w:val="bullet"/>
      <w:lvlText w:val="o"/>
      <w:lvlJc w:val="left"/>
      <w:pPr>
        <w:ind w:left="5490" w:hanging="360"/>
      </w:pPr>
      <w:rPr>
        <w:rFonts w:ascii="Courier New" w:hAnsi="Courier New" w:hint="default"/>
      </w:rPr>
    </w:lvl>
    <w:lvl w:ilvl="8" w:tplc="46CC6106"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242DD"/>
    <w:rsid w:val="00046AFC"/>
    <w:rsid w:val="00070281"/>
    <w:rsid w:val="00155B32"/>
    <w:rsid w:val="002242DD"/>
    <w:rsid w:val="00AC66B4"/>
    <w:rsid w:val="00D942C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B51A49D0-2710-481B-BE36-681A698E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customStyle="1" w:styleId="Default">
    <w:name w:val="Default"/>
    <w:rsid w:val="00CF3850"/>
    <w:pPr>
      <w:autoSpaceDE w:val="0"/>
      <w:autoSpaceDN w:val="0"/>
      <w:adjustRightInd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FC4D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4D94"/>
    <w:rPr>
      <w:rFonts w:ascii="Segoe UI" w:hAnsi="Segoe UI" w:cs="Segoe UI"/>
      <w:sz w:val="18"/>
      <w:szCs w:val="18"/>
    </w:rPr>
  </w:style>
  <w:style w:type="character" w:styleId="Verwijzingopmerking">
    <w:name w:val="annotation reference"/>
    <w:basedOn w:val="Standaardalinea-lettertype"/>
    <w:uiPriority w:val="99"/>
    <w:semiHidden/>
    <w:unhideWhenUsed/>
    <w:rsid w:val="004B7327"/>
    <w:rPr>
      <w:sz w:val="16"/>
      <w:szCs w:val="16"/>
    </w:rPr>
  </w:style>
  <w:style w:type="paragraph" w:styleId="Tekstopmerking">
    <w:name w:val="annotation text"/>
    <w:basedOn w:val="Standaard"/>
    <w:link w:val="TekstopmerkingChar"/>
    <w:uiPriority w:val="99"/>
    <w:semiHidden/>
    <w:unhideWhenUsed/>
    <w:rsid w:val="004B7327"/>
    <w:rPr>
      <w:sz w:val="20"/>
      <w:szCs w:val="20"/>
    </w:rPr>
  </w:style>
  <w:style w:type="character" w:customStyle="1" w:styleId="TekstopmerkingChar">
    <w:name w:val="Tekst opmerking Char"/>
    <w:basedOn w:val="Standaardalinea-lettertype"/>
    <w:link w:val="Tekstopmerking"/>
    <w:uiPriority w:val="99"/>
    <w:semiHidden/>
    <w:rsid w:val="004B7327"/>
    <w:rPr>
      <w:sz w:val="20"/>
      <w:szCs w:val="20"/>
    </w:rPr>
  </w:style>
  <w:style w:type="paragraph" w:styleId="Onderwerpvanopmerking">
    <w:name w:val="annotation subject"/>
    <w:basedOn w:val="Tekstopmerking"/>
    <w:next w:val="Tekstopmerking"/>
    <w:link w:val="OnderwerpvanopmerkingChar"/>
    <w:uiPriority w:val="99"/>
    <w:semiHidden/>
    <w:unhideWhenUsed/>
    <w:rsid w:val="004B7327"/>
    <w:rPr>
      <w:b/>
      <w:bCs/>
    </w:rPr>
  </w:style>
  <w:style w:type="character" w:customStyle="1" w:styleId="OnderwerpvanopmerkingChar">
    <w:name w:val="Onderwerp van opmerking Char"/>
    <w:basedOn w:val="TekstopmerkingChar"/>
    <w:link w:val="Onderwerpvanopmerking"/>
    <w:uiPriority w:val="99"/>
    <w:semiHidden/>
    <w:rsid w:val="004B7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C052E-DAE3-4EE8-B84E-EC1229EA3D06}">
  <ds:schemaRefs>
    <ds:schemaRef ds:uri="http://schemas.openxmlformats.org/officeDocument/2006/bibliography"/>
  </ds:schemaRefs>
</ds:datastoreItem>
</file>

<file path=customXml/itemProps2.xml><?xml version="1.0" encoding="utf-8"?>
<ds:datastoreItem xmlns:ds="http://schemas.openxmlformats.org/officeDocument/2006/customXml" ds:itemID="{F0A80AF4-914C-4121-A7B2-85260995B32D}"/>
</file>

<file path=customXml/itemProps3.xml><?xml version="1.0" encoding="utf-8"?>
<ds:datastoreItem xmlns:ds="http://schemas.openxmlformats.org/officeDocument/2006/customXml" ds:itemID="{DE31B822-B0FE-4D86-8B21-BA5680E83C5E}"/>
</file>

<file path=customXml/itemProps4.xml><?xml version="1.0" encoding="utf-8"?>
<ds:datastoreItem xmlns:ds="http://schemas.openxmlformats.org/officeDocument/2006/customXml" ds:itemID="{BC8FD5D9-BEA7-4C80-BAED-56768D9928FB}"/>
</file>

<file path=docProps/app.xml><?xml version="1.0" encoding="utf-8"?>
<Properties xmlns="http://schemas.openxmlformats.org/officeDocument/2006/extended-properties" xmlns:vt="http://schemas.openxmlformats.org/officeDocument/2006/docPropsVTypes">
  <Template>C5FA12B5</Template>
  <TotalTime>8</TotalTime>
  <Pages>4</Pages>
  <Words>810</Words>
  <Characters>4455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9</cp:revision>
  <cp:lastPrinted>2016-10-11T18:31:00Z</cp:lastPrinted>
  <dcterms:created xsi:type="dcterms:W3CDTF">2016-11-18T19:05:00Z</dcterms:created>
  <dcterms:modified xsi:type="dcterms:W3CDTF">2017-08-21T12:45:00Z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