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BE" w:rsidRPr="00D35316" w:rsidRDefault="00FF3078" w:rsidP="00AF61BE">
      <w:pPr>
        <w:pStyle w:val="TemplateHeadline"/>
        <w:rPr>
          <w:rFonts w:asciiTheme="minorHAnsi" w:hAnsiTheme="minorHAnsi" w:cstheme="minorHAnsi"/>
        </w:rPr>
      </w:pPr>
      <w:r w:rsidRPr="00D35316">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page">
                  <wp:posOffset>2647950</wp:posOffset>
                </wp:positionV>
                <wp:extent cx="6400800" cy="18764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1876425"/>
                        </a:xfrm>
                        <a:prstGeom prst="rect">
                          <a:avLst/>
                        </a:prstGeom>
                        <a:solidFill>
                          <a:schemeClr val="bg1">
                            <a:lumMod val="85000"/>
                          </a:schemeClr>
                        </a:solid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1C77" w:rsidRPr="0062479B" w:rsidRDefault="00FF3078" w:rsidP="00FC4D94">
                            <w:pPr>
                              <w:pStyle w:val="TemplateHeadline"/>
                            </w:pPr>
                            <w:r w:rsidRPr="0062479B">
                              <w:rPr>
                                <w:iCs/>
                                <w:lang w:val="nl-NL"/>
                              </w:rPr>
                              <w:t>Standaard 1200 - Vakbekwaamheid en beroepsmatige zorgvuldigheid</w:t>
                            </w:r>
                          </w:p>
                          <w:p w:rsidR="00001B74" w:rsidRPr="00D35316" w:rsidRDefault="00FF3078" w:rsidP="0070681D">
                            <w:pPr>
                              <w:pStyle w:val="Default"/>
                              <w:spacing w:after="180"/>
                              <w:rPr>
                                <w:sz w:val="22"/>
                                <w:szCs w:val="22"/>
                              </w:rPr>
                            </w:pPr>
                            <w:r w:rsidRPr="00D35316">
                              <w:rPr>
                                <w:sz w:val="22"/>
                                <w:szCs w:val="22"/>
                                <w:lang w:val="nl-NL"/>
                              </w:rPr>
                              <w:t>De opdrachten moeten met vakbekwaamheid en beroepsmatige zorgvuldigheid worden uitgevoerd.</w:t>
                            </w:r>
                          </w:p>
                          <w:p w:rsidR="002915CA" w:rsidRPr="00D35316" w:rsidRDefault="00FF3078" w:rsidP="002915CA">
                            <w:pPr>
                              <w:pStyle w:val="Default"/>
                              <w:jc w:val="right"/>
                              <w:rPr>
                                <w:sz w:val="22"/>
                                <w:szCs w:val="22"/>
                              </w:rPr>
                            </w:pPr>
                            <w:r w:rsidRPr="00D35316">
                              <w:rPr>
                                <w:sz w:val="22"/>
                                <w:szCs w:val="22"/>
                                <w:lang w:val="nl-NL"/>
                              </w:rPr>
                              <w:t xml:space="preserve">Herziene </w:t>
                            </w:r>
                            <w:r w:rsidRPr="00D35316">
                              <w:rPr>
                                <w:i/>
                                <w:sz w:val="22"/>
                                <w:szCs w:val="22"/>
                                <w:lang w:val="nl-NL"/>
                              </w:rPr>
                              <w:t>Standaarden</w:t>
                            </w:r>
                            <w:r w:rsidRPr="00D35316">
                              <w:rPr>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208.5pt;width:7in;height:147.7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" fillcolor="#d8d8d8 [2732]" stroked="f">
                <v:textbox inset="14.4pt,23.76pt,14.4pt,23.76pt">
                  <w:txbxContent>
                    <w:p w:rsidR="00B61C77" w:rsidRPr="0062479B" w:rsidRDefault="00FF3078" w:rsidP="00FC4D94">
                      <w:pPr>
                        <w:pStyle w:val="TemplateHeadline"/>
                      </w:pPr>
                      <w:r w:rsidRPr="0062479B">
                        <w:rPr>
                          <w:iCs/>
                          <w:lang w:val="nl-NL"/>
                        </w:rPr>
                        <w:t>Standaard 1200 - Vakbekwaamheid en beroepsmatige zorgvuldigheid</w:t>
                      </w:r>
                    </w:p>
                    <w:p w:rsidR="00001B74" w:rsidRPr="00D35316" w:rsidRDefault="00FF3078" w:rsidP="0070681D">
                      <w:pPr>
                        <w:pStyle w:val="Default"/>
                        <w:spacing w:after="180"/>
                        <w:rPr>
                          <w:sz w:val="22"/>
                          <w:szCs w:val="22"/>
                        </w:rPr>
                      </w:pPr>
                      <w:r w:rsidRPr="00D35316">
                        <w:rPr>
                          <w:sz w:val="22"/>
                          <w:szCs w:val="22"/>
                          <w:lang w:val="nl-NL"/>
                        </w:rPr>
                        <w:t>De opdrachten moeten met vakbekwaamheid en beroepsmatige zorgvuldigheid worden uitgevoerd.</w:t>
                      </w:r>
                    </w:p>
                    <w:p w:rsidR="002915CA" w:rsidRPr="00D35316" w:rsidRDefault="00FF3078" w:rsidP="002915CA">
                      <w:pPr>
                        <w:pStyle w:val="Default"/>
                        <w:jc w:val="right"/>
                        <w:rPr>
                          <w:sz w:val="22"/>
                          <w:szCs w:val="22"/>
                        </w:rPr>
                      </w:pPr>
                      <w:r w:rsidRPr="00D35316">
                        <w:rPr>
                          <w:sz w:val="22"/>
                          <w:szCs w:val="22"/>
                          <w:lang w:val="nl-NL"/>
                        </w:rPr>
                        <w:t xml:space="preserve">Herziene </w:t>
                      </w:r>
                      <w:r w:rsidRPr="00D35316">
                        <w:rPr>
                          <w:i/>
                          <w:sz w:val="22"/>
                          <w:szCs w:val="22"/>
                          <w:lang w:val="nl-NL"/>
                        </w:rPr>
                        <w:t>Standaarden</w:t>
                      </w:r>
                      <w:r w:rsidRPr="00D35316">
                        <w:rPr>
                          <w:sz w:val="22"/>
                          <w:szCs w:val="22"/>
                          <w:lang w:val="nl-NL"/>
                        </w:rPr>
                        <w:t xml:space="preserve"> die per 1 januari 2017 van kracht zijn</w:t>
                      </w:r>
                    </w:p>
                  </w:txbxContent>
                </v:textbox>
                <w10:wrap type="square" anchorx="margin" anchory="page"/>
              </v:shape>
            </w:pict>
          </mc:Fallback>
        </mc:AlternateContent>
      </w:r>
      <w:r w:rsidRPr="00D35316">
        <w:rPr>
          <w:rFonts w:asciiTheme="minorHAnsi" w:hAnsiTheme="minorHAnsi" w:cstheme="minorHAnsi"/>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1C77" w:rsidRPr="00E6381B" w:rsidRDefault="00FF3078"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1200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B61C77" w:rsidRPr="00E6381B" w:rsidRDefault="00FF3078"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1200</w:t>
                      </w:r>
                    </w:p>
                  </w:txbxContent>
                </v:textbox>
                <w10:wrap type="square" anchorx="page" anchory="page"/>
              </v:shape>
            </w:pict>
          </mc:Fallback>
        </mc:AlternateContent>
      </w:r>
      <w:r w:rsidRPr="00D35316">
        <w:rPr>
          <w:rFonts w:asciiTheme="minorHAnsi" w:hAnsiTheme="minorHAnsi" w:cstheme="minorHAnsi"/>
          <w:lang w:val="nl-NL"/>
        </w:rPr>
        <w:t>Inleiding</w:t>
      </w:r>
    </w:p>
    <w:p w:rsidR="001B7966" w:rsidRPr="00D35316" w:rsidRDefault="00FF3078" w:rsidP="0070681D">
      <w:pPr>
        <w:pStyle w:val="TemplateHeadline"/>
        <w:spacing w:line="400" w:lineRule="atLeast"/>
        <w:rPr>
          <w:rFonts w:asciiTheme="minorHAnsi" w:hAnsiTheme="minorHAnsi" w:cstheme="minorHAnsi"/>
          <w:color w:val="000000"/>
          <w:sz w:val="22"/>
          <w:szCs w:val="22"/>
        </w:rPr>
      </w:pPr>
      <w:r w:rsidRPr="00D35316">
        <w:rPr>
          <w:rFonts w:asciiTheme="minorHAnsi" w:hAnsiTheme="minorHAnsi" w:cstheme="minorHAnsi"/>
          <w:color w:val="000000"/>
          <w:sz w:val="22"/>
          <w:szCs w:val="22"/>
          <w:lang w:val="nl-NL"/>
        </w:rPr>
        <w:t xml:space="preserve">Iedere internal auditor heeft de verantwoordelijkheid om opdrachten met vakbekwaamheid en beroepsmatige zorgvuldigheid uit te voeren. Het realiseren van deze twee kenmerken vereist in de eerste plaats kennis van de verplichte richtlijnen in het </w:t>
      </w:r>
      <w:r w:rsidRPr="00D35316">
        <w:rPr>
          <w:rFonts w:asciiTheme="minorHAnsi" w:hAnsiTheme="minorHAnsi" w:cstheme="minorHAnsi"/>
          <w:i/>
          <w:iCs/>
          <w:color w:val="000000"/>
          <w:sz w:val="22"/>
          <w:szCs w:val="22"/>
          <w:lang w:val="nl-NL"/>
        </w:rPr>
        <w:t xml:space="preserve">International Professional Practices Framework </w:t>
      </w:r>
      <w:r w:rsidRPr="00D35316">
        <w:rPr>
          <w:rFonts w:asciiTheme="minorHAnsi" w:hAnsiTheme="minorHAnsi" w:cstheme="minorHAnsi"/>
          <w:color w:val="000000"/>
          <w:sz w:val="22"/>
          <w:szCs w:val="22"/>
          <w:lang w:val="nl-NL"/>
        </w:rPr>
        <w:t>(IPPF), en met name van de IIA-Gedragscode (</w:t>
      </w:r>
      <w:r w:rsidRPr="00D35316">
        <w:rPr>
          <w:rFonts w:asciiTheme="minorHAnsi" w:hAnsiTheme="minorHAnsi" w:cstheme="minorHAnsi"/>
          <w:i/>
          <w:iCs/>
          <w:color w:val="000000"/>
          <w:sz w:val="22"/>
          <w:szCs w:val="22"/>
          <w:lang w:val="nl-NL"/>
        </w:rPr>
        <w:t>Code of Ethics</w:t>
      </w:r>
      <w:r w:rsidRPr="00D35316">
        <w:rPr>
          <w:rFonts w:asciiTheme="minorHAnsi" w:hAnsiTheme="minorHAnsi" w:cstheme="minorHAnsi"/>
          <w:color w:val="000000"/>
          <w:sz w:val="22"/>
          <w:szCs w:val="22"/>
          <w:lang w:val="nl-NL"/>
        </w:rPr>
        <w:t xml:space="preserve">). </w:t>
      </w:r>
    </w:p>
    <w:p w:rsidR="001B7966" w:rsidRPr="00D35316" w:rsidRDefault="00FF3078" w:rsidP="0070681D">
      <w:pPr>
        <w:pStyle w:val="TemplateHeadline"/>
        <w:spacing w:line="400" w:lineRule="atLeast"/>
        <w:rPr>
          <w:rFonts w:asciiTheme="minorHAnsi" w:hAnsiTheme="minorHAnsi" w:cstheme="minorHAnsi"/>
          <w:color w:val="000000"/>
          <w:sz w:val="22"/>
          <w:szCs w:val="22"/>
        </w:rPr>
      </w:pPr>
      <w:r w:rsidRPr="00D35316">
        <w:rPr>
          <w:rFonts w:asciiTheme="minorHAnsi" w:hAnsiTheme="minorHAnsi" w:cstheme="minorHAnsi"/>
          <w:color w:val="000000"/>
          <w:sz w:val="22"/>
          <w:szCs w:val="22"/>
          <w:lang w:val="nl-NL"/>
        </w:rPr>
        <w:t xml:space="preserve">Internal auditors ontwikkelen hun vakbekwaamheid meestal op basis van opleidingen, werkervaring, vaktechnische ontwikkelingsmogelijkheden en kwalificaties, zoals de door het IIA verstrekte, meest relevante beroepskwalificatie voor internal auditors: Certified Internal Auditor® (CIA®). Internal auditors die beroepskwalificaties hebben behaald moeten zich bewust zijn van de permanente educatievereisten waaraan ze moeten voldoen om hun kwalificaties te behouden. </w:t>
      </w:r>
    </w:p>
    <w:p w:rsidR="00E72994" w:rsidRPr="00D35316" w:rsidRDefault="00FF3078" w:rsidP="0070681D">
      <w:pPr>
        <w:pStyle w:val="TemplateHeadline"/>
        <w:spacing w:line="400" w:lineRule="atLeast"/>
        <w:rPr>
          <w:rFonts w:asciiTheme="minorHAnsi" w:hAnsiTheme="minorHAnsi" w:cstheme="minorHAnsi"/>
          <w:color w:val="000000"/>
          <w:sz w:val="22"/>
          <w:szCs w:val="22"/>
        </w:rPr>
      </w:pPr>
      <w:r w:rsidRPr="00D35316">
        <w:rPr>
          <w:rFonts w:asciiTheme="minorHAnsi" w:hAnsiTheme="minorHAnsi" w:cstheme="minorHAnsi"/>
          <w:color w:val="000000"/>
          <w:sz w:val="22"/>
          <w:szCs w:val="22"/>
          <w:lang w:val="nl-NL"/>
        </w:rPr>
        <w:t>Beroepsmatige zorgvuldigheid vereist kennis van de systematische en gedisciplineerde internal auditaanpak zoals uiteengezet in het IPPF, alsmede de aanvullende, door het hoofd van de internal auditfunctie  (Chief Audit Executive (CAE)) vastgestelde organisatiespecifieke beleidsregels en procedures.</w:t>
      </w:r>
    </w:p>
    <w:p w:rsidR="0062479B" w:rsidRPr="00D35316" w:rsidRDefault="00FF3078" w:rsidP="001B7966">
      <w:pPr>
        <w:pStyle w:val="TemplateHeadline"/>
        <w:spacing w:after="100" w:afterAutospacing="1" w:line="400" w:lineRule="atLeast"/>
        <w:rPr>
          <w:rFonts w:asciiTheme="minorHAnsi" w:hAnsiTheme="minorHAnsi" w:cstheme="minorHAnsi"/>
          <w:color w:val="000000"/>
          <w:sz w:val="22"/>
          <w:szCs w:val="22"/>
          <w:lang w:val="nl-NL"/>
        </w:rPr>
      </w:pPr>
      <w:r w:rsidRPr="00D35316">
        <w:rPr>
          <w:rFonts w:asciiTheme="minorHAnsi" w:hAnsiTheme="minorHAnsi" w:cstheme="minorHAnsi"/>
          <w:color w:val="000000"/>
          <w:sz w:val="22"/>
          <w:szCs w:val="22"/>
          <w:lang w:val="nl-NL"/>
        </w:rPr>
        <w:lastRenderedPageBreak/>
        <w:t>De CAE is verantwoordelijk voor de naleving van deze Standaard door de internal auditfunctie als geheel. In het kader van het aansturen van de internal auditfunctie stelt de CAE beleidsregels en procedures vast die de internal auditors in staat stellen om opdrachten met vakbekwaamheid en beroepsmatige zorgvuldigheid uit te voeren. In het kader hiervan zorgt de CAE voor de werving en training van internal auditors en voor een goede planning en bemensing van opdrachten en goed toezicht op opdrachten. Daarbij is het raadzaam dat de CAE de verantwoordelijkheden evalueert zoals die zijn vastgelegd in het internal auditcharter en het internal auditplan, en overweegt over welke kennis, vaardigheden en andere competenties de internal auditfunctie moet beschikken om de geplande auditopdrachten uit te voeren</w:t>
      </w:r>
      <w:r w:rsidR="0062479B" w:rsidRPr="00D35316">
        <w:rPr>
          <w:rFonts w:asciiTheme="minorHAnsi" w:hAnsiTheme="minorHAnsi" w:cstheme="minorHAnsi"/>
          <w:color w:val="000000"/>
          <w:sz w:val="22"/>
          <w:szCs w:val="22"/>
          <w:lang w:val="nl-NL"/>
        </w:rPr>
        <w:t>.</w:t>
      </w:r>
    </w:p>
    <w:p w:rsidR="0062479B" w:rsidRPr="00D35316" w:rsidRDefault="0062479B" w:rsidP="0062479B">
      <w:pPr>
        <w:pStyle w:val="Geenafstand"/>
        <w:rPr>
          <w:rFonts w:cstheme="minorHAnsi"/>
          <w:sz w:val="22"/>
          <w:szCs w:val="22"/>
          <w:lang w:val="nl-NL"/>
        </w:rPr>
      </w:pPr>
    </w:p>
    <w:p w:rsidR="00CF3850" w:rsidRPr="00D35316" w:rsidRDefault="00FF3078" w:rsidP="00001B74">
      <w:pPr>
        <w:pStyle w:val="TemplateHeadline"/>
        <w:spacing w:before="100" w:beforeAutospacing="1" w:after="100" w:afterAutospacing="1"/>
        <w:rPr>
          <w:rFonts w:asciiTheme="minorHAnsi" w:hAnsiTheme="minorHAnsi" w:cstheme="minorHAnsi"/>
        </w:rPr>
      </w:pPr>
      <w:r w:rsidRPr="00D35316">
        <w:rPr>
          <w:rFonts w:asciiTheme="minorHAnsi" w:hAnsiTheme="minorHAnsi" w:cstheme="minorHAnsi"/>
          <w:lang w:val="nl-NL"/>
        </w:rPr>
        <w:t>Overwegingen bij de implementatie</w:t>
      </w:r>
      <w:bookmarkStart w:id="0" w:name="_GoBack"/>
      <w:bookmarkEnd w:id="0"/>
    </w:p>
    <w:p w:rsidR="00414AB7" w:rsidRPr="00D35316" w:rsidRDefault="00FF3078" w:rsidP="00E72994">
      <w:pPr>
        <w:pStyle w:val="TemplateBodyText"/>
        <w:rPr>
          <w:rFonts w:asciiTheme="minorHAnsi" w:hAnsiTheme="minorHAnsi" w:cstheme="minorHAnsi"/>
          <w:sz w:val="22"/>
          <w:szCs w:val="22"/>
        </w:rPr>
      </w:pPr>
      <w:r w:rsidRPr="00D35316">
        <w:rPr>
          <w:rFonts w:asciiTheme="minorHAnsi" w:hAnsiTheme="minorHAnsi" w:cstheme="minorHAnsi"/>
          <w:sz w:val="22"/>
          <w:szCs w:val="22"/>
          <w:lang w:val="nl-NL"/>
        </w:rPr>
        <w:t xml:space="preserve">Voor internal auditors vereist beroepsmatige zorgvuldigheid naleving van de IIA-Gedragscode, en daarnaast naleving van de gedragscode van de organisatie en eventuele andere gedragscodes die betrekking hebben op overige beroepskwalificaties die zij hebben behaald. Mogelijk heeft de internal auditfunctie een formeel proces dat vereist dat de internal auditor een jaarlijkse verklaring ondertekent inzake de IIA-Gedragscode of de gedragscode van de organisatie. </w:t>
      </w:r>
    </w:p>
    <w:p w:rsidR="00E72994" w:rsidRPr="00D35316" w:rsidRDefault="00FF3078" w:rsidP="00E72994">
      <w:pPr>
        <w:pStyle w:val="TemplateBodyText"/>
        <w:rPr>
          <w:rFonts w:asciiTheme="minorHAnsi" w:hAnsiTheme="minorHAnsi" w:cstheme="minorHAnsi"/>
          <w:sz w:val="22"/>
          <w:szCs w:val="22"/>
        </w:rPr>
      </w:pPr>
      <w:r w:rsidRPr="00D35316">
        <w:rPr>
          <w:rFonts w:asciiTheme="minorHAnsi" w:hAnsiTheme="minorHAnsi" w:cstheme="minorHAnsi"/>
          <w:sz w:val="22"/>
          <w:szCs w:val="22"/>
          <w:lang w:val="nl-NL"/>
        </w:rPr>
        <w:t xml:space="preserve">Internal auditors houden zich in het algemeen gedurende hun hele loopbaan bezig met het ontwikkelen van hun vakbekwaamheid via het behalen en in stand houden van passende kwalificaties en het volgen van vaktechnische trainingen, waaronder voortdurende vaktechnische ontwikkeling. De CAE kan de criteria voor de beoordeling van de vakbekwaamheid van internal auditors baseren op het </w:t>
      </w:r>
      <w:r w:rsidRPr="00D35316">
        <w:rPr>
          <w:rFonts w:asciiTheme="minorHAnsi" w:hAnsiTheme="minorHAnsi" w:cstheme="minorHAnsi"/>
          <w:i/>
          <w:iCs/>
          <w:sz w:val="22"/>
          <w:szCs w:val="22"/>
          <w:lang w:val="nl-NL"/>
        </w:rPr>
        <w:t xml:space="preserve">Global Internal Audit Competency Framework </w:t>
      </w:r>
      <w:r w:rsidRPr="00D35316">
        <w:rPr>
          <w:rFonts w:asciiTheme="minorHAnsi" w:hAnsiTheme="minorHAnsi" w:cstheme="minorHAnsi"/>
          <w:sz w:val="22"/>
          <w:szCs w:val="22"/>
          <w:lang w:val="nl-NL"/>
        </w:rPr>
        <w:t xml:space="preserve">van het IIA of een soortgelijke benchmark. Met behulp van de criteria kunnen functieomschrijvingen en een inventarisatie van de in de auditfunctie vereiste competenties worden opgesteld. Daarnaast kan de CAE een strategie ontwikkelen voor de werving, aanstelling, training en vaktechnische ontwikkeling van medewerkers om een vakbekwame internal auditfunctie op te zetten en ervoor te zorgen dat de competenties worden bijgehouden en op een adequaat niveau blijven. </w:t>
      </w:r>
    </w:p>
    <w:p w:rsidR="00E72994" w:rsidRPr="00D35316" w:rsidRDefault="00FF3078" w:rsidP="00E72994">
      <w:pPr>
        <w:pStyle w:val="TemplateBodyText"/>
        <w:rPr>
          <w:rFonts w:asciiTheme="minorHAnsi" w:hAnsiTheme="minorHAnsi" w:cstheme="minorHAnsi"/>
          <w:bCs/>
          <w:sz w:val="22"/>
          <w:szCs w:val="22"/>
        </w:rPr>
      </w:pPr>
      <w:r w:rsidRPr="00D35316">
        <w:rPr>
          <w:rFonts w:asciiTheme="minorHAnsi" w:hAnsiTheme="minorHAnsi" w:cstheme="minorHAnsi"/>
          <w:bCs/>
          <w:sz w:val="22"/>
          <w:szCs w:val="22"/>
          <w:lang w:val="nl-NL"/>
        </w:rPr>
        <w:t xml:space="preserve">Bij het ontwikkelen van het internal auditplan moet de CAE in het algemeen in het oog houden welke </w:t>
      </w:r>
      <w:r w:rsidRPr="00D35316">
        <w:rPr>
          <w:rFonts w:asciiTheme="minorHAnsi" w:hAnsiTheme="minorHAnsi" w:cstheme="minorHAnsi"/>
          <w:bCs/>
          <w:sz w:val="22"/>
          <w:szCs w:val="22"/>
          <w:lang w:val="nl-NL"/>
        </w:rPr>
        <w:lastRenderedPageBreak/>
        <w:t xml:space="preserve">kennis, vaardigheden en andere competenties vereist zijn om het plan uit te voeren en welke middelen er beschikbaar zijn binnen de internal auditfunctie en bij andere auditors en adviseurs. Daarbij kunnen CAE en de leidinggevenden van de auditfunctie de benodigde vaardigheden voor het realiseren van de reikwijdte en doelstellingen van iedere opdracht vergelijken met de vakbekwaamheid van iedere beschikbare internal auditor. </w:t>
      </w:r>
    </w:p>
    <w:p w:rsidR="00E72994" w:rsidRPr="00D35316" w:rsidRDefault="00FF3078" w:rsidP="00E72994">
      <w:pPr>
        <w:pStyle w:val="TemplateBodyText"/>
        <w:rPr>
          <w:rFonts w:asciiTheme="minorHAnsi" w:hAnsiTheme="minorHAnsi" w:cstheme="minorHAnsi"/>
          <w:sz w:val="22"/>
          <w:szCs w:val="22"/>
        </w:rPr>
      </w:pPr>
      <w:r w:rsidRPr="00D35316">
        <w:rPr>
          <w:rFonts w:asciiTheme="minorHAnsi" w:hAnsiTheme="minorHAnsi" w:cstheme="minorHAnsi"/>
          <w:sz w:val="22"/>
          <w:szCs w:val="22"/>
          <w:lang w:val="nl-NL"/>
        </w:rPr>
        <w:t>Om beroepsmatige zorgvuldigheid te waarborgen, moet de CAE beleid en procedures vaststellen (Standaard 2040), waarbij in het algemeen de in het IPPF opgenomen verplichte richtlijnen moeten worden verwerkt. Ook moet worden voorzien in een systematische en gedisciplineerde aanpak van het opdrachtproces. De CAE kan individuele auditors verzoeken formulieren te ondertekenen ter bevestiging dat zij bekend zijn met het beleid en de procedures.</w:t>
      </w:r>
    </w:p>
    <w:p w:rsidR="00E72994" w:rsidRPr="00D35316" w:rsidRDefault="00FF3078" w:rsidP="00E72994">
      <w:pPr>
        <w:pStyle w:val="TemplateBodyText"/>
        <w:rPr>
          <w:rFonts w:asciiTheme="minorHAnsi" w:hAnsiTheme="minorHAnsi" w:cstheme="minorHAnsi"/>
          <w:sz w:val="22"/>
          <w:szCs w:val="22"/>
        </w:rPr>
      </w:pPr>
      <w:r w:rsidRPr="00D35316">
        <w:rPr>
          <w:rFonts w:asciiTheme="minorHAnsi" w:hAnsiTheme="minorHAnsi" w:cstheme="minorHAnsi"/>
          <w:sz w:val="22"/>
          <w:szCs w:val="22"/>
          <w:lang w:val="nl-NL"/>
        </w:rPr>
        <w:t xml:space="preserve">Internal auditors kunnen hun kennis inzetten om de reikwijdte en doelstellingen van de opdracht te beoordelen en te bepalen hoe de opdracht effectief kan worden uitgevoerd. Internal auditors betrachten in wezen beroepsmatige zorgvuldigheid als zij de verplichte richtlijnen in het IPPF en de beleidsregels en procedures van de internal auditfunctie voor de planning, uitvoering en documentatie van internal auditopdrachten naleven. In Standaard 1220 t/m 1220.A3 worden fundamentele elementen gedefinieerd die internal auditors in het oog moeten houden om aantoonbaar beroepsmatige zorgvuldigheid te betrachten. </w:t>
      </w:r>
    </w:p>
    <w:p w:rsidR="00001B74" w:rsidRPr="00D35316" w:rsidRDefault="00FF3078" w:rsidP="00411A72">
      <w:pPr>
        <w:pStyle w:val="TemplateBodyText"/>
        <w:spacing w:after="100" w:afterAutospacing="1"/>
        <w:rPr>
          <w:rFonts w:asciiTheme="minorHAnsi" w:hAnsiTheme="minorHAnsi" w:cstheme="minorHAnsi"/>
          <w:sz w:val="22"/>
          <w:szCs w:val="22"/>
          <w:lang w:val="nl-NL"/>
        </w:rPr>
      </w:pPr>
      <w:r w:rsidRPr="00D35316">
        <w:rPr>
          <w:rFonts w:asciiTheme="minorHAnsi" w:hAnsiTheme="minorHAnsi" w:cstheme="minorHAnsi"/>
          <w:sz w:val="22"/>
          <w:szCs w:val="22"/>
          <w:lang w:val="nl-NL"/>
        </w:rPr>
        <w:t>Nadat een opdracht is voltooid, worden het proces, de resultaten en de bevindingen van de opdracht in het algemeen beoordeeld door de CAE of voor de opdracht verantwoordelijke leidinggevende. Vervolgens kunnen in een bijeenkomst met de medewerkers van de internal auditfunctie die de opdracht hebben uitgevoerd relevante observaties worden besproken. Dit helpt de leidinggevende om te beoordelen hoe zorgvuldig de vastgestelde procedures zijn opgevolgd.</w:t>
      </w:r>
    </w:p>
    <w:p w:rsidR="0062479B" w:rsidRPr="00D35316" w:rsidRDefault="0062479B" w:rsidP="0062479B">
      <w:pPr>
        <w:pStyle w:val="Geenafstand"/>
        <w:rPr>
          <w:rFonts w:cstheme="minorHAnsi"/>
          <w:sz w:val="22"/>
          <w:szCs w:val="22"/>
        </w:rPr>
      </w:pPr>
    </w:p>
    <w:p w:rsidR="00CF3850" w:rsidRPr="00D35316" w:rsidRDefault="00FF3078" w:rsidP="008C75C6">
      <w:pPr>
        <w:pStyle w:val="TemplateHeadline"/>
        <w:spacing w:before="100" w:beforeAutospacing="1" w:after="100" w:afterAutospacing="1"/>
        <w:rPr>
          <w:rFonts w:asciiTheme="minorHAnsi" w:hAnsiTheme="minorHAnsi" w:cstheme="minorHAnsi"/>
        </w:rPr>
      </w:pPr>
      <w:r w:rsidRPr="00D35316">
        <w:rPr>
          <w:rFonts w:asciiTheme="minorHAnsi" w:hAnsiTheme="minorHAnsi" w:cstheme="minorHAnsi"/>
          <w:lang w:val="nl-NL"/>
        </w:rPr>
        <w:t>Overwegingen bij het aantonen van de naleving</w:t>
      </w:r>
    </w:p>
    <w:p w:rsidR="00E278F4" w:rsidRPr="00D35316" w:rsidRDefault="00FF3078" w:rsidP="00A322FD">
      <w:pPr>
        <w:pStyle w:val="TemplateBodyText"/>
        <w:spacing w:after="120"/>
        <w:rPr>
          <w:rFonts w:asciiTheme="minorHAnsi" w:hAnsiTheme="minorHAnsi" w:cstheme="minorHAnsi"/>
          <w:sz w:val="22"/>
          <w:szCs w:val="22"/>
        </w:rPr>
      </w:pPr>
      <w:r w:rsidRPr="00D35316">
        <w:rPr>
          <w:rFonts w:asciiTheme="minorHAnsi" w:hAnsiTheme="minorHAnsi" w:cstheme="minorHAnsi"/>
          <w:sz w:val="22"/>
          <w:szCs w:val="22"/>
          <w:lang w:val="nl-NL"/>
        </w:rPr>
        <w:t>Het aantonen van de naleving van Standaard 1200 kan onder andere plaatsvinden door middel van:</w:t>
      </w:r>
    </w:p>
    <w:p w:rsidR="00E278F4" w:rsidRPr="00D35316" w:rsidRDefault="00FF3078" w:rsidP="00A322FD">
      <w:pPr>
        <w:pStyle w:val="RedBullets"/>
        <w:rPr>
          <w:rFonts w:asciiTheme="minorHAnsi" w:hAnsiTheme="minorHAnsi" w:cstheme="minorHAnsi"/>
          <w:sz w:val="22"/>
          <w:szCs w:val="22"/>
        </w:rPr>
      </w:pPr>
      <w:r w:rsidRPr="00D35316">
        <w:rPr>
          <w:rFonts w:asciiTheme="minorHAnsi" w:hAnsiTheme="minorHAnsi" w:cstheme="minorHAnsi"/>
          <w:sz w:val="22"/>
          <w:szCs w:val="22"/>
          <w:lang w:val="nl-NL"/>
        </w:rPr>
        <w:t>Beoordelingen van de competenties binnen de internal auditfunctie.</w:t>
      </w:r>
    </w:p>
    <w:p w:rsidR="00E278F4" w:rsidRPr="00D35316" w:rsidRDefault="00FF3078" w:rsidP="00A322FD">
      <w:pPr>
        <w:pStyle w:val="RedBullets"/>
        <w:rPr>
          <w:rFonts w:asciiTheme="minorHAnsi" w:hAnsiTheme="minorHAnsi" w:cstheme="minorHAnsi"/>
          <w:sz w:val="22"/>
          <w:szCs w:val="22"/>
        </w:rPr>
      </w:pPr>
      <w:r w:rsidRPr="00D35316">
        <w:rPr>
          <w:rFonts w:asciiTheme="minorHAnsi" w:hAnsiTheme="minorHAnsi" w:cstheme="minorHAnsi"/>
          <w:sz w:val="22"/>
          <w:szCs w:val="22"/>
          <w:lang w:val="nl-NL"/>
        </w:rPr>
        <w:lastRenderedPageBreak/>
        <w:t xml:space="preserve">Documentatie van de personeelswervings- en trainingsstrategie, functieomschrijvingen en cv's. </w:t>
      </w:r>
    </w:p>
    <w:p w:rsidR="00E278F4" w:rsidRPr="00D35316" w:rsidRDefault="00FF3078" w:rsidP="00A322FD">
      <w:pPr>
        <w:pStyle w:val="RedBullets"/>
        <w:rPr>
          <w:rFonts w:asciiTheme="minorHAnsi" w:hAnsiTheme="minorHAnsi" w:cstheme="minorHAnsi"/>
          <w:sz w:val="22"/>
          <w:szCs w:val="22"/>
        </w:rPr>
      </w:pPr>
      <w:r w:rsidRPr="00D35316">
        <w:rPr>
          <w:rFonts w:asciiTheme="minorHAnsi" w:hAnsiTheme="minorHAnsi" w:cstheme="minorHAnsi"/>
          <w:sz w:val="22"/>
          <w:szCs w:val="22"/>
          <w:lang w:val="nl-NL"/>
        </w:rPr>
        <w:t xml:space="preserve">Beleid en procedures van de internal auditfunctie, alsmede modellen voor workpapers. </w:t>
      </w:r>
    </w:p>
    <w:p w:rsidR="00D5413B" w:rsidRPr="00D35316" w:rsidRDefault="00FF3078" w:rsidP="00A322FD">
      <w:pPr>
        <w:pStyle w:val="RedBullets"/>
        <w:rPr>
          <w:rFonts w:asciiTheme="minorHAnsi" w:hAnsiTheme="minorHAnsi" w:cstheme="minorHAnsi"/>
          <w:sz w:val="22"/>
          <w:szCs w:val="22"/>
        </w:rPr>
      </w:pPr>
      <w:r w:rsidRPr="00D35316">
        <w:rPr>
          <w:rFonts w:asciiTheme="minorHAnsi" w:hAnsiTheme="minorHAnsi" w:cstheme="minorHAnsi"/>
          <w:sz w:val="22"/>
          <w:szCs w:val="22"/>
          <w:lang w:val="nl-NL"/>
        </w:rPr>
        <w:t xml:space="preserve">Informatie die aantoont dat de beleidsregels en procedures van de internal auditfunctie zijn gecommuniceerd en dat de medewerkers van de internal auditfunctie bekend zijn met dit beleid en deze procedures. </w:t>
      </w:r>
    </w:p>
    <w:p w:rsidR="00EF06F9" w:rsidRPr="00D35316" w:rsidRDefault="00FF3078" w:rsidP="00A322FD">
      <w:pPr>
        <w:pStyle w:val="RedBullets"/>
        <w:rPr>
          <w:rFonts w:asciiTheme="minorHAnsi" w:hAnsiTheme="minorHAnsi" w:cstheme="minorHAnsi"/>
          <w:sz w:val="22"/>
          <w:szCs w:val="22"/>
        </w:rPr>
      </w:pPr>
      <w:r w:rsidRPr="00D35316">
        <w:rPr>
          <w:rFonts w:asciiTheme="minorHAnsi" w:hAnsiTheme="minorHAnsi" w:cstheme="minorHAnsi"/>
          <w:sz w:val="22"/>
          <w:szCs w:val="22"/>
          <w:lang w:val="nl-NL"/>
        </w:rPr>
        <w:t>Informatie die de juistheid onderbouwt van de jaarlijkse verklaring inzake de IIA-Gedragscode en de gedragscode van de organisatie.</w:t>
      </w:r>
    </w:p>
    <w:p w:rsidR="002C5595" w:rsidRPr="00D35316" w:rsidRDefault="00FF3078" w:rsidP="00A322FD">
      <w:pPr>
        <w:pStyle w:val="RedBullets"/>
        <w:spacing w:after="120"/>
        <w:rPr>
          <w:rFonts w:asciiTheme="minorHAnsi" w:hAnsiTheme="minorHAnsi" w:cstheme="minorHAnsi"/>
          <w:sz w:val="22"/>
          <w:szCs w:val="22"/>
        </w:rPr>
      </w:pPr>
      <w:r w:rsidRPr="00D35316">
        <w:rPr>
          <w:rFonts w:asciiTheme="minorHAnsi" w:hAnsiTheme="minorHAnsi" w:cstheme="minorHAnsi"/>
          <w:sz w:val="22"/>
          <w:szCs w:val="22"/>
          <w:lang w:val="nl-NL"/>
        </w:rPr>
        <w:t>Het internal auditplan en de opdrachtplannen, waaruit blijkt dat de medewerkers van de internal auditfunctie adequaat en passend zijn ingezet.</w:t>
      </w:r>
    </w:p>
    <w:p w:rsidR="006050F3" w:rsidRPr="00D35316" w:rsidRDefault="00FF3078" w:rsidP="00A322FD">
      <w:pPr>
        <w:pStyle w:val="RedBullets"/>
        <w:numPr>
          <w:ilvl w:val="0"/>
          <w:numId w:val="0"/>
        </w:numPr>
        <w:rPr>
          <w:rFonts w:asciiTheme="minorHAnsi" w:hAnsiTheme="minorHAnsi" w:cstheme="minorHAnsi"/>
        </w:rPr>
      </w:pPr>
      <w:r w:rsidRPr="00D35316">
        <w:rPr>
          <w:rFonts w:asciiTheme="minorHAnsi" w:hAnsiTheme="minorHAnsi" w:cstheme="minorHAnsi"/>
          <w:sz w:val="22"/>
          <w:szCs w:val="22"/>
          <w:lang w:val="nl-NL"/>
        </w:rPr>
        <w:t xml:space="preserve">De beroepsmatige zorgvuldigheid van internal auditors kan blijken uit workpapers over de opdracht of andere documentatie van procedures en processen die tijdens de auditopdracht zijn toegepast. De vakbekwaamheid van individuele internal auditors en hun beroepsmatige zorgvuldigheid kan blijken uit gedocumenteerde beoordelingen van opdrachten door leidinggevenden en uit vragenlijsten of andere vormen van feedback na afloop van opdrachten. Onafhankelijke externe beoordelingen uitgevoerd in het kader van het programma voor kwaliteitsbewaking en -verbetering kunnen aanvullende zekerheid verschaffen dat opdrachten met vakbekwaamheid en beroepsmatige zorgvuldigheid zijn uitgevoerd. </w:t>
      </w:r>
      <w:r w:rsidRPr="00D35316">
        <w:rPr>
          <w:rFonts w:asciiTheme="minorHAnsi" w:hAnsiTheme="minorHAnsi" w:cstheme="minorHAnsi"/>
          <w:sz w:val="22"/>
          <w:szCs w:val="22"/>
          <w:lang w:val="nl-NL"/>
        </w:rPr>
        <w:br w:type="page"/>
      </w:r>
      <w:r w:rsidRPr="00D35316">
        <w:rPr>
          <w:rFonts w:asciiTheme="minorHAnsi" w:hAnsiTheme="minorHAnsi" w:cstheme="minorHAnsi"/>
          <w:noProof/>
          <w:lang w:val="nl-NL" w:eastAsia="nl-NL"/>
        </w:rPr>
        <w:lastRenderedPageBreak/>
        <mc:AlternateContent>
          <mc:Choice Requires="wps">
            <w:drawing>
              <wp:anchor distT="2103120" distB="274320" distL="114300" distR="114300" simplePos="0" relativeHeight="251662336" behindDoc="0" locked="0" layoutInCell="1" allowOverlap="1">
                <wp:simplePos x="0" y="0"/>
                <wp:positionH relativeFrom="margin">
                  <wp:posOffset>0</wp:posOffset>
                </wp:positionH>
                <wp:positionV relativeFrom="paragraph">
                  <wp:posOffset>2676525</wp:posOffset>
                </wp:positionV>
                <wp:extent cx="6400800" cy="51530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53025"/>
                        </a:xfrm>
                        <a:prstGeom prst="rect">
                          <a:avLst/>
                        </a:prstGeom>
                        <a:solidFill>
                          <a:schemeClr val="bg1">
                            <a:lumMod val="85000"/>
                          </a:schemeClr>
                        </a:solid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F3151" w:rsidRPr="00E6381B" w:rsidRDefault="00FF3078" w:rsidP="001F3151">
                            <w:pPr>
                              <w:pStyle w:val="BoilerplateHeadline"/>
                            </w:pPr>
                            <w:r w:rsidRPr="00E6381B">
                              <w:rPr>
                                <w:lang w:val="nl-NL"/>
                              </w:rPr>
                              <w:t xml:space="preserve">Over het IIA </w:t>
                            </w:r>
                          </w:p>
                          <w:p w:rsidR="001F3151" w:rsidRPr="001A0D5D" w:rsidRDefault="00FF3078" w:rsidP="001F3151">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1F3151" w:rsidRPr="00E6381B" w:rsidRDefault="00FF3078" w:rsidP="001F3151">
                            <w:pPr>
                              <w:pStyle w:val="BoilerplateHeadline"/>
                            </w:pPr>
                            <w:r w:rsidRPr="00E6381B">
                              <w:rPr>
                                <w:lang w:val="nl-NL"/>
                              </w:rPr>
                              <w:t>Over de Implementatierichtlijnen</w:t>
                            </w:r>
                          </w:p>
                          <w:p w:rsidR="001F3151" w:rsidRDefault="00FF3078" w:rsidP="001F3151">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1F3151" w:rsidRDefault="00FF3078" w:rsidP="001F3151">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1F3151" w:rsidRDefault="00FF3078" w:rsidP="001F3151">
                            <w:pPr>
                              <w:pStyle w:val="BoilerplateBodyText"/>
                              <w:ind w:right="60"/>
                            </w:pPr>
                            <w:r>
                              <w:rPr>
                                <w:lang w:val="nl-NL"/>
                              </w:rPr>
                              <w:t xml:space="preserve">Andere gezaghebbende richtlijnen van het IIA kunt u vinden op onze websites: www.globaliia.org/standards-guidance en www.theiia.org/guidance. </w:t>
                            </w:r>
                          </w:p>
                          <w:p w:rsidR="001F3151" w:rsidRDefault="00FF3078" w:rsidP="001F3151">
                            <w:pPr>
                              <w:pStyle w:val="BoilerplateHeadline"/>
                            </w:pPr>
                            <w:r>
                              <w:rPr>
                                <w:lang w:val="nl-NL"/>
                              </w:rPr>
                              <w:t>Disclaimer</w:t>
                            </w:r>
                          </w:p>
                          <w:p w:rsidR="001F3151" w:rsidRDefault="00FF3078" w:rsidP="001F3151">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1F3151" w:rsidRDefault="00FF3078" w:rsidP="001F3151">
                            <w:pPr>
                              <w:pStyle w:val="BoilerplateHeadline"/>
                              <w:spacing w:after="60"/>
                            </w:pPr>
                            <w:r>
                              <w:rPr>
                                <w:lang w:val="nl-NL"/>
                              </w:rPr>
                              <w:t>Auteursrecht</w:t>
                            </w:r>
                          </w:p>
                          <w:p w:rsidR="001F3151" w:rsidRDefault="00FF3078" w:rsidP="001F3151">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 Toestemming voor reproductie van deze publicatie kunt u per e-mail aanvragen via guidance@theiia.org. </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210.75pt;width:7in;height:405.75pt;z-index:251662336;visibility:visible;mso-wrap-style:square;mso-height-percent:0;mso-wrap-distance-left:9pt;mso-wrap-distance-top:165.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" fillcolor="#d8d8d8 [2732]" stroked="f">
                <v:textbox inset="14.4pt,23.76pt,14.4pt,23.76pt">
                  <w:txbxContent>
                    <w:p w:rsidR="001F3151" w:rsidRPr="00E6381B" w:rsidRDefault="00FF3078" w:rsidP="001F3151">
                      <w:pPr>
                        <w:pStyle w:val="BoilerplateHeadline"/>
                      </w:pPr>
                      <w:r w:rsidRPr="00E6381B">
                        <w:rPr>
                          <w:lang w:val="nl-NL"/>
                        </w:rPr>
                        <w:t xml:space="preserve">Over het IIA </w:t>
                      </w:r>
                    </w:p>
                    <w:p w:rsidR="001F3151" w:rsidRPr="001A0D5D" w:rsidRDefault="00FF3078" w:rsidP="001F3151">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1F3151" w:rsidRPr="00E6381B" w:rsidRDefault="00FF3078" w:rsidP="001F3151">
                      <w:pPr>
                        <w:pStyle w:val="BoilerplateHeadline"/>
                      </w:pPr>
                      <w:r w:rsidRPr="00E6381B">
                        <w:rPr>
                          <w:lang w:val="nl-NL"/>
                        </w:rPr>
                        <w:t>Over de Implementatierichtlijnen</w:t>
                      </w:r>
                    </w:p>
                    <w:p w:rsidR="001F3151" w:rsidRDefault="00FF3078" w:rsidP="001F3151">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1F3151" w:rsidRDefault="00FF3078" w:rsidP="001F3151">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1F3151" w:rsidRDefault="00FF3078" w:rsidP="001F3151">
                      <w:pPr>
                        <w:pStyle w:val="BoilerplateBodyText"/>
                        <w:ind w:right="60"/>
                      </w:pPr>
                      <w:r>
                        <w:rPr>
                          <w:lang w:val="nl-NL"/>
                        </w:rPr>
                        <w:t xml:space="preserve">Andere gezaghebbende richtlijnen van het IIA kunt u vinden op onze websites: www.globaliia.org/standards-guidance en www.theiia.org/guidance. </w:t>
                      </w:r>
                    </w:p>
                    <w:p w:rsidR="001F3151" w:rsidRDefault="00FF3078" w:rsidP="001F3151">
                      <w:pPr>
                        <w:pStyle w:val="BoilerplateHeadline"/>
                      </w:pPr>
                      <w:r>
                        <w:rPr>
                          <w:lang w:val="nl-NL"/>
                        </w:rPr>
                        <w:t>Disclaimer</w:t>
                      </w:r>
                    </w:p>
                    <w:p w:rsidR="001F3151" w:rsidRDefault="00FF3078" w:rsidP="001F3151">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1F3151" w:rsidRDefault="00FF3078" w:rsidP="001F3151">
                      <w:pPr>
                        <w:pStyle w:val="BoilerplateHeadline"/>
                        <w:spacing w:after="60"/>
                      </w:pPr>
                      <w:r>
                        <w:rPr>
                          <w:lang w:val="nl-NL"/>
                        </w:rPr>
                        <w:t>Auteursrecht</w:t>
                      </w:r>
                    </w:p>
                    <w:p w:rsidR="001F3151" w:rsidRDefault="00FF3078" w:rsidP="001F3151">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 Toestemming voor reproductie van deze publicatie kunt u per e-mail aanvragen via guidance@theiia.org. </w:t>
                      </w:r>
                    </w:p>
                  </w:txbxContent>
                </v:textbox>
                <w10:wrap type="square" anchorx="margin"/>
              </v:shape>
            </w:pict>
          </mc:Fallback>
        </mc:AlternateContent>
      </w:r>
    </w:p>
    <w:sectPr w:rsidR="006050F3" w:rsidRPr="00D35316"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07" w:rsidRDefault="00FF3078">
      <w:r>
        <w:separator/>
      </w:r>
    </w:p>
  </w:endnote>
  <w:endnote w:type="continuationSeparator" w:id="0">
    <w:p w:rsidR="004B0507" w:rsidRDefault="00FF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FF3078"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A010DF">
      <w:rPr>
        <w:rStyle w:val="Paginanummer"/>
        <w:noProof/>
        <w:color w:val="535953"/>
        <w:sz w:val="16"/>
        <w:szCs w:val="16"/>
      </w:rPr>
      <w:t>3</w:t>
    </w:r>
    <w:r w:rsidRPr="006227FD">
      <w:rPr>
        <w:rStyle w:val="Paginanummer"/>
        <w:color w:val="535953"/>
        <w:sz w:val="16"/>
        <w:szCs w:val="16"/>
      </w:rPr>
      <w:fldChar w:fldCharType="end"/>
    </w:r>
  </w:p>
  <w:p w:rsidR="00B01FFE" w:rsidRDefault="00A010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FF3078" w:rsidP="00893833">
    <w:pPr>
      <w:framePr w:wrap="around" w:vAnchor="text" w:hAnchor="page" w:x="6071" w:y="277"/>
      <w:rPr>
        <w:rStyle w:val="Paginanummer"/>
        <w:color w:val="535953"/>
        <w:sz w:val="16"/>
        <w:szCs w:val="16"/>
      </w:rPr>
    </w:pP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A010DF">
      <w:rPr>
        <w:rStyle w:val="Paginanummer"/>
        <w:noProof/>
        <w:color w:val="535953"/>
        <w:sz w:val="16"/>
        <w:szCs w:val="16"/>
      </w:rPr>
      <w:t>1</w:t>
    </w:r>
    <w:r w:rsidRPr="00893833">
      <w:rPr>
        <w:rStyle w:val="Paginanummer"/>
        <w:color w:val="535953"/>
        <w:sz w:val="16"/>
        <w:szCs w:val="16"/>
      </w:rPr>
      <w:fldChar w:fldCharType="end"/>
    </w:r>
  </w:p>
  <w:p w:rsidR="00B01FFE" w:rsidRDefault="00A010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07" w:rsidRDefault="00FF3078">
      <w:r>
        <w:separator/>
      </w:r>
    </w:p>
  </w:footnote>
  <w:footnote w:type="continuationSeparator" w:id="0">
    <w:p w:rsidR="004B0507" w:rsidRDefault="00FF3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FF3078"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A010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FF3078">
    <w:r>
      <w:rPr>
        <w:noProof/>
        <w:lang w:val="nl-NL" w:eastAsia="nl-NL"/>
      </w:rPr>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FF3078">
                          <w:pPr>
                            <w:rPr>
                              <w:rFonts w:ascii="Arial" w:hAnsi="Arial" w:cs="Arial"/>
                              <w:color w:val="002239" w:themeColor="text2" w:themeShade="80"/>
                            </w:rPr>
                          </w:pPr>
                          <w:r>
                            <w:rPr>
                              <w:rFonts w:ascii="Arial" w:hAnsi="Arial" w:cs="Arial"/>
                              <w:color w:val="0F1F4B"/>
                              <w:lang w:val="nl-NL"/>
                            </w:rPr>
                            <w:t>Implementatierichtlijn 1200</w:t>
                          </w:r>
                          <w:r>
                            <w:rPr>
                              <w:rFonts w:ascii="Arial" w:hAnsi="Arial" w:cs="Arial"/>
                              <w:color w:val="002239" w:themeColor="text2" w:themeShade="80"/>
                              <w:lang w:val="nl-NL"/>
                            </w:rPr>
                            <w:t xml:space="preserve"> </w:t>
                          </w:r>
                          <w:r w:rsidR="00D35316">
                            <w:rPr>
                              <w:rFonts w:ascii="Arial" w:hAnsi="Arial" w:cs="Arial"/>
                              <w:color w:val="002239" w:themeColor="text2" w:themeShade="80"/>
                              <w:lang w:val="nl-NL"/>
                            </w:rPr>
                            <w:t>-</w:t>
                          </w:r>
                          <w:r>
                            <w:rPr>
                              <w:rFonts w:ascii="Arial" w:hAnsi="Arial" w:cs="Arial"/>
                              <w:color w:val="002239" w:themeColor="text2" w:themeShade="80"/>
                              <w:lang w:val="nl-NL"/>
                            </w:rPr>
                            <w:t xml:space="preserve"> </w:t>
                          </w:r>
                          <w:r>
                            <w:rPr>
                              <w:rFonts w:ascii="Arial" w:hAnsi="Arial" w:cs="Arial"/>
                              <w:color w:val="535953"/>
                              <w:lang w:val="nl-NL"/>
                            </w:rPr>
                            <w:t>Vakbekwaamheid en beroepsmatige zorgvuldigheid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FF3078">
                    <w:pPr>
                      <w:rPr>
                        <w:rFonts w:ascii="Arial" w:hAnsi="Arial" w:cs="Arial"/>
                        <w:color w:val="002239" w:themeColor="text2" w:themeShade="80"/>
                      </w:rPr>
                    </w:pPr>
                    <w:r>
                      <w:rPr>
                        <w:rFonts w:ascii="Arial" w:hAnsi="Arial" w:cs="Arial"/>
                        <w:color w:val="0F1F4B"/>
                        <w:lang w:val="nl-NL"/>
                      </w:rPr>
                      <w:t>Implementatierichtlijn 1200</w:t>
                    </w:r>
                    <w:r>
                      <w:rPr>
                        <w:rFonts w:ascii="Arial" w:hAnsi="Arial" w:cs="Arial"/>
                        <w:color w:val="002239" w:themeColor="text2" w:themeShade="80"/>
                        <w:lang w:val="nl-NL"/>
                      </w:rPr>
                      <w:t xml:space="preserve"> </w:t>
                    </w:r>
                    <w:r w:rsidR="00D35316">
                      <w:rPr>
                        <w:rFonts w:ascii="Arial" w:hAnsi="Arial" w:cs="Arial"/>
                        <w:color w:val="002239" w:themeColor="text2" w:themeShade="80"/>
                        <w:lang w:val="nl-NL"/>
                      </w:rPr>
                      <w:t>-</w:t>
                    </w:r>
                    <w:r>
                      <w:rPr>
                        <w:rFonts w:ascii="Arial" w:hAnsi="Arial" w:cs="Arial"/>
                        <w:color w:val="002239" w:themeColor="text2" w:themeShade="80"/>
                        <w:lang w:val="nl-NL"/>
                      </w:rPr>
                      <w:t xml:space="preserve"> </w:t>
                    </w:r>
                    <w:r>
                      <w:rPr>
                        <w:rFonts w:ascii="Arial" w:hAnsi="Arial" w:cs="Arial"/>
                        <w:color w:val="535953"/>
                        <w:lang w:val="nl-NL"/>
                      </w:rPr>
                      <w:t>Vakbekwaamheid en beroepsmatige zorgvuldigheid</w:t>
                    </w:r>
                  </w:p>
                </w:txbxContent>
              </v:textbox>
              <w10:wrap type="through" anchorx="page" anchory="page"/>
            </v:shape>
          </w:pict>
        </mc:Fallback>
      </mc:AlternateContent>
    </w:r>
    <w:r>
      <w:rPr>
        <w:noProof/>
        <w:lang w:val="nl-NL" w:eastAsia="nl-NL"/>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FF3078">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A42"/>
    <w:multiLevelType w:val="hybridMultilevel"/>
    <w:tmpl w:val="75FA64F4"/>
    <w:lvl w:ilvl="0" w:tplc="5740A48C">
      <w:start w:val="1"/>
      <w:numFmt w:val="bullet"/>
      <w:lvlText w:val=""/>
      <w:lvlJc w:val="left"/>
      <w:pPr>
        <w:ind w:left="720" w:hanging="360"/>
      </w:pPr>
      <w:rPr>
        <w:rFonts w:ascii="Symbol" w:hAnsi="Symbol" w:hint="default"/>
      </w:rPr>
    </w:lvl>
    <w:lvl w:ilvl="1" w:tplc="40C8B474">
      <w:start w:val="1"/>
      <w:numFmt w:val="bullet"/>
      <w:lvlText w:val="o"/>
      <w:lvlJc w:val="left"/>
      <w:pPr>
        <w:ind w:left="1440" w:hanging="360"/>
      </w:pPr>
      <w:rPr>
        <w:rFonts w:ascii="Courier New" w:hAnsi="Courier New" w:cs="Courier New" w:hint="default"/>
      </w:rPr>
    </w:lvl>
    <w:lvl w:ilvl="2" w:tplc="356A7444" w:tentative="1">
      <w:start w:val="1"/>
      <w:numFmt w:val="bullet"/>
      <w:lvlText w:val=""/>
      <w:lvlJc w:val="left"/>
      <w:pPr>
        <w:ind w:left="2160" w:hanging="360"/>
      </w:pPr>
      <w:rPr>
        <w:rFonts w:ascii="Wingdings" w:hAnsi="Wingdings" w:hint="default"/>
      </w:rPr>
    </w:lvl>
    <w:lvl w:ilvl="3" w:tplc="D21AC858" w:tentative="1">
      <w:start w:val="1"/>
      <w:numFmt w:val="bullet"/>
      <w:lvlText w:val=""/>
      <w:lvlJc w:val="left"/>
      <w:pPr>
        <w:ind w:left="2880" w:hanging="360"/>
      </w:pPr>
      <w:rPr>
        <w:rFonts w:ascii="Symbol" w:hAnsi="Symbol" w:hint="default"/>
      </w:rPr>
    </w:lvl>
    <w:lvl w:ilvl="4" w:tplc="7DD86046" w:tentative="1">
      <w:start w:val="1"/>
      <w:numFmt w:val="bullet"/>
      <w:lvlText w:val="o"/>
      <w:lvlJc w:val="left"/>
      <w:pPr>
        <w:ind w:left="3600" w:hanging="360"/>
      </w:pPr>
      <w:rPr>
        <w:rFonts w:ascii="Courier New" w:hAnsi="Courier New" w:cs="Courier New" w:hint="default"/>
      </w:rPr>
    </w:lvl>
    <w:lvl w:ilvl="5" w:tplc="D30269E4" w:tentative="1">
      <w:start w:val="1"/>
      <w:numFmt w:val="bullet"/>
      <w:lvlText w:val=""/>
      <w:lvlJc w:val="left"/>
      <w:pPr>
        <w:ind w:left="4320" w:hanging="360"/>
      </w:pPr>
      <w:rPr>
        <w:rFonts w:ascii="Wingdings" w:hAnsi="Wingdings" w:hint="default"/>
      </w:rPr>
    </w:lvl>
    <w:lvl w:ilvl="6" w:tplc="A9327BAE" w:tentative="1">
      <w:start w:val="1"/>
      <w:numFmt w:val="bullet"/>
      <w:lvlText w:val=""/>
      <w:lvlJc w:val="left"/>
      <w:pPr>
        <w:ind w:left="5040" w:hanging="360"/>
      </w:pPr>
      <w:rPr>
        <w:rFonts w:ascii="Symbol" w:hAnsi="Symbol" w:hint="default"/>
      </w:rPr>
    </w:lvl>
    <w:lvl w:ilvl="7" w:tplc="457E6D0C" w:tentative="1">
      <w:start w:val="1"/>
      <w:numFmt w:val="bullet"/>
      <w:lvlText w:val="o"/>
      <w:lvlJc w:val="left"/>
      <w:pPr>
        <w:ind w:left="5760" w:hanging="360"/>
      </w:pPr>
      <w:rPr>
        <w:rFonts w:ascii="Courier New" w:hAnsi="Courier New" w:cs="Courier New" w:hint="default"/>
      </w:rPr>
    </w:lvl>
    <w:lvl w:ilvl="8" w:tplc="BFA22426" w:tentative="1">
      <w:start w:val="1"/>
      <w:numFmt w:val="bullet"/>
      <w:lvlText w:val=""/>
      <w:lvlJc w:val="left"/>
      <w:pPr>
        <w:ind w:left="6480" w:hanging="360"/>
      </w:pPr>
      <w:rPr>
        <w:rFonts w:ascii="Wingdings" w:hAnsi="Wingdings" w:hint="default"/>
      </w:rPr>
    </w:lvl>
  </w:abstractNum>
  <w:abstractNum w:abstractNumId="1" w15:restartNumberingAfterBreak="0">
    <w:nsid w:val="1D4A6306"/>
    <w:multiLevelType w:val="hybridMultilevel"/>
    <w:tmpl w:val="36D85A0C"/>
    <w:lvl w:ilvl="0" w:tplc="7CB0D738">
      <w:start w:val="1"/>
      <w:numFmt w:val="bullet"/>
      <w:lvlText w:val=""/>
      <w:lvlJc w:val="left"/>
      <w:pPr>
        <w:ind w:left="990" w:hanging="360"/>
      </w:pPr>
      <w:rPr>
        <w:rFonts w:ascii="Symbol" w:hAnsi="Symbol" w:hint="default"/>
        <w:color w:val="D32E30" w:themeColor="accent2"/>
      </w:rPr>
    </w:lvl>
    <w:lvl w:ilvl="1" w:tplc="18749616" w:tentative="1">
      <w:start w:val="1"/>
      <w:numFmt w:val="bullet"/>
      <w:lvlText w:val="o"/>
      <w:lvlJc w:val="left"/>
      <w:pPr>
        <w:ind w:left="1710" w:hanging="360"/>
      </w:pPr>
      <w:rPr>
        <w:rFonts w:ascii="Courier New" w:hAnsi="Courier New" w:hint="default"/>
      </w:rPr>
    </w:lvl>
    <w:lvl w:ilvl="2" w:tplc="4D10B9FC" w:tentative="1">
      <w:start w:val="1"/>
      <w:numFmt w:val="bullet"/>
      <w:lvlText w:val=""/>
      <w:lvlJc w:val="left"/>
      <w:pPr>
        <w:ind w:left="2430" w:hanging="360"/>
      </w:pPr>
      <w:rPr>
        <w:rFonts w:ascii="Wingdings" w:hAnsi="Wingdings" w:hint="default"/>
      </w:rPr>
    </w:lvl>
    <w:lvl w:ilvl="3" w:tplc="738AF548" w:tentative="1">
      <w:start w:val="1"/>
      <w:numFmt w:val="bullet"/>
      <w:lvlText w:val=""/>
      <w:lvlJc w:val="left"/>
      <w:pPr>
        <w:ind w:left="3150" w:hanging="360"/>
      </w:pPr>
      <w:rPr>
        <w:rFonts w:ascii="Symbol" w:hAnsi="Symbol" w:hint="default"/>
      </w:rPr>
    </w:lvl>
    <w:lvl w:ilvl="4" w:tplc="73FA9E00" w:tentative="1">
      <w:start w:val="1"/>
      <w:numFmt w:val="bullet"/>
      <w:lvlText w:val="o"/>
      <w:lvlJc w:val="left"/>
      <w:pPr>
        <w:ind w:left="3870" w:hanging="360"/>
      </w:pPr>
      <w:rPr>
        <w:rFonts w:ascii="Courier New" w:hAnsi="Courier New" w:hint="default"/>
      </w:rPr>
    </w:lvl>
    <w:lvl w:ilvl="5" w:tplc="FDFC51E4" w:tentative="1">
      <w:start w:val="1"/>
      <w:numFmt w:val="bullet"/>
      <w:lvlText w:val=""/>
      <w:lvlJc w:val="left"/>
      <w:pPr>
        <w:ind w:left="4590" w:hanging="360"/>
      </w:pPr>
      <w:rPr>
        <w:rFonts w:ascii="Wingdings" w:hAnsi="Wingdings" w:hint="default"/>
      </w:rPr>
    </w:lvl>
    <w:lvl w:ilvl="6" w:tplc="19E24C46" w:tentative="1">
      <w:start w:val="1"/>
      <w:numFmt w:val="bullet"/>
      <w:lvlText w:val=""/>
      <w:lvlJc w:val="left"/>
      <w:pPr>
        <w:ind w:left="5310" w:hanging="360"/>
      </w:pPr>
      <w:rPr>
        <w:rFonts w:ascii="Symbol" w:hAnsi="Symbol" w:hint="default"/>
      </w:rPr>
    </w:lvl>
    <w:lvl w:ilvl="7" w:tplc="AB648578" w:tentative="1">
      <w:start w:val="1"/>
      <w:numFmt w:val="bullet"/>
      <w:lvlText w:val="o"/>
      <w:lvlJc w:val="left"/>
      <w:pPr>
        <w:ind w:left="6030" w:hanging="360"/>
      </w:pPr>
      <w:rPr>
        <w:rFonts w:ascii="Courier New" w:hAnsi="Courier New" w:hint="default"/>
      </w:rPr>
    </w:lvl>
    <w:lvl w:ilvl="8" w:tplc="F11A00B8" w:tentative="1">
      <w:start w:val="1"/>
      <w:numFmt w:val="bullet"/>
      <w:lvlText w:val=""/>
      <w:lvlJc w:val="left"/>
      <w:pPr>
        <w:ind w:left="6750" w:hanging="360"/>
      </w:pPr>
      <w:rPr>
        <w:rFonts w:ascii="Wingdings" w:hAnsi="Wingdings" w:hint="default"/>
      </w:rPr>
    </w:lvl>
  </w:abstractNum>
  <w:abstractNum w:abstractNumId="2" w15:restartNumberingAfterBreak="0">
    <w:nsid w:val="25F42B3A"/>
    <w:multiLevelType w:val="hybridMultilevel"/>
    <w:tmpl w:val="E31EAF06"/>
    <w:lvl w:ilvl="0" w:tplc="5B7C3510">
      <w:start w:val="1"/>
      <w:numFmt w:val="bullet"/>
      <w:pStyle w:val="RedBullets"/>
      <w:lvlText w:val=""/>
      <w:lvlJc w:val="left"/>
      <w:pPr>
        <w:ind w:left="994" w:hanging="360"/>
      </w:pPr>
      <w:rPr>
        <w:rFonts w:ascii="Symbol" w:hAnsi="Symbol" w:hint="default"/>
        <w:color w:val="D32E30" w:themeColor="accent2"/>
      </w:rPr>
    </w:lvl>
    <w:lvl w:ilvl="1" w:tplc="F8883C34">
      <w:start w:val="1"/>
      <w:numFmt w:val="bullet"/>
      <w:lvlText w:val="o"/>
      <w:lvlJc w:val="left"/>
      <w:pPr>
        <w:ind w:left="1714" w:hanging="360"/>
      </w:pPr>
      <w:rPr>
        <w:rFonts w:ascii="Courier New" w:hAnsi="Courier New" w:hint="default"/>
      </w:rPr>
    </w:lvl>
    <w:lvl w:ilvl="2" w:tplc="144ABBE8" w:tentative="1">
      <w:start w:val="1"/>
      <w:numFmt w:val="bullet"/>
      <w:lvlText w:val=""/>
      <w:lvlJc w:val="left"/>
      <w:pPr>
        <w:ind w:left="2434" w:hanging="360"/>
      </w:pPr>
      <w:rPr>
        <w:rFonts w:ascii="Wingdings" w:hAnsi="Wingdings" w:hint="default"/>
      </w:rPr>
    </w:lvl>
    <w:lvl w:ilvl="3" w:tplc="6CDE0FE0" w:tentative="1">
      <w:start w:val="1"/>
      <w:numFmt w:val="bullet"/>
      <w:lvlText w:val=""/>
      <w:lvlJc w:val="left"/>
      <w:pPr>
        <w:ind w:left="3154" w:hanging="360"/>
      </w:pPr>
      <w:rPr>
        <w:rFonts w:ascii="Symbol" w:hAnsi="Symbol" w:hint="default"/>
      </w:rPr>
    </w:lvl>
    <w:lvl w:ilvl="4" w:tplc="55D8AC9E" w:tentative="1">
      <w:start w:val="1"/>
      <w:numFmt w:val="bullet"/>
      <w:lvlText w:val="o"/>
      <w:lvlJc w:val="left"/>
      <w:pPr>
        <w:ind w:left="3874" w:hanging="360"/>
      </w:pPr>
      <w:rPr>
        <w:rFonts w:ascii="Courier New" w:hAnsi="Courier New" w:hint="default"/>
      </w:rPr>
    </w:lvl>
    <w:lvl w:ilvl="5" w:tplc="BC8CB8EC" w:tentative="1">
      <w:start w:val="1"/>
      <w:numFmt w:val="bullet"/>
      <w:lvlText w:val=""/>
      <w:lvlJc w:val="left"/>
      <w:pPr>
        <w:ind w:left="4594" w:hanging="360"/>
      </w:pPr>
      <w:rPr>
        <w:rFonts w:ascii="Wingdings" w:hAnsi="Wingdings" w:hint="default"/>
      </w:rPr>
    </w:lvl>
    <w:lvl w:ilvl="6" w:tplc="D7FA3E24" w:tentative="1">
      <w:start w:val="1"/>
      <w:numFmt w:val="bullet"/>
      <w:lvlText w:val=""/>
      <w:lvlJc w:val="left"/>
      <w:pPr>
        <w:ind w:left="5314" w:hanging="360"/>
      </w:pPr>
      <w:rPr>
        <w:rFonts w:ascii="Symbol" w:hAnsi="Symbol" w:hint="default"/>
      </w:rPr>
    </w:lvl>
    <w:lvl w:ilvl="7" w:tplc="7F40325E" w:tentative="1">
      <w:start w:val="1"/>
      <w:numFmt w:val="bullet"/>
      <w:lvlText w:val="o"/>
      <w:lvlJc w:val="left"/>
      <w:pPr>
        <w:ind w:left="6034" w:hanging="360"/>
      </w:pPr>
      <w:rPr>
        <w:rFonts w:ascii="Courier New" w:hAnsi="Courier New" w:hint="default"/>
      </w:rPr>
    </w:lvl>
    <w:lvl w:ilvl="8" w:tplc="A9824A0E" w:tentative="1">
      <w:start w:val="1"/>
      <w:numFmt w:val="bullet"/>
      <w:lvlText w:val=""/>
      <w:lvlJc w:val="left"/>
      <w:pPr>
        <w:ind w:left="6754" w:hanging="360"/>
      </w:pPr>
      <w:rPr>
        <w:rFonts w:ascii="Wingdings" w:hAnsi="Wingdings" w:hint="default"/>
      </w:rPr>
    </w:lvl>
  </w:abstractNum>
  <w:abstractNum w:abstractNumId="3" w15:restartNumberingAfterBreak="0">
    <w:nsid w:val="327E59D3"/>
    <w:multiLevelType w:val="hybridMultilevel"/>
    <w:tmpl w:val="97D2F3F4"/>
    <w:lvl w:ilvl="0" w:tplc="A552B468">
      <w:start w:val="1"/>
      <w:numFmt w:val="bullet"/>
      <w:lvlText w:val=""/>
      <w:lvlJc w:val="left"/>
      <w:pPr>
        <w:ind w:left="720" w:hanging="360"/>
      </w:pPr>
      <w:rPr>
        <w:rFonts w:ascii="Symbol" w:hAnsi="Symbol" w:hint="default"/>
        <w:color w:val="D32E30" w:themeColor="accent2"/>
      </w:rPr>
    </w:lvl>
    <w:lvl w:ilvl="1" w:tplc="8FC06434" w:tentative="1">
      <w:start w:val="1"/>
      <w:numFmt w:val="bullet"/>
      <w:lvlText w:val="o"/>
      <w:lvlJc w:val="left"/>
      <w:pPr>
        <w:ind w:left="1170" w:hanging="360"/>
      </w:pPr>
      <w:rPr>
        <w:rFonts w:ascii="Courier New" w:hAnsi="Courier New" w:hint="default"/>
      </w:rPr>
    </w:lvl>
    <w:lvl w:ilvl="2" w:tplc="7DFCCD48" w:tentative="1">
      <w:start w:val="1"/>
      <w:numFmt w:val="bullet"/>
      <w:lvlText w:val=""/>
      <w:lvlJc w:val="left"/>
      <w:pPr>
        <w:ind w:left="1890" w:hanging="360"/>
      </w:pPr>
      <w:rPr>
        <w:rFonts w:ascii="Wingdings" w:hAnsi="Wingdings" w:hint="default"/>
      </w:rPr>
    </w:lvl>
    <w:lvl w:ilvl="3" w:tplc="BF92F0BC" w:tentative="1">
      <w:start w:val="1"/>
      <w:numFmt w:val="bullet"/>
      <w:lvlText w:val=""/>
      <w:lvlJc w:val="left"/>
      <w:pPr>
        <w:ind w:left="2610" w:hanging="360"/>
      </w:pPr>
      <w:rPr>
        <w:rFonts w:ascii="Symbol" w:hAnsi="Symbol" w:hint="default"/>
      </w:rPr>
    </w:lvl>
    <w:lvl w:ilvl="4" w:tplc="17AA2818" w:tentative="1">
      <w:start w:val="1"/>
      <w:numFmt w:val="bullet"/>
      <w:lvlText w:val="o"/>
      <w:lvlJc w:val="left"/>
      <w:pPr>
        <w:ind w:left="3330" w:hanging="360"/>
      </w:pPr>
      <w:rPr>
        <w:rFonts w:ascii="Courier New" w:hAnsi="Courier New" w:hint="default"/>
      </w:rPr>
    </w:lvl>
    <w:lvl w:ilvl="5" w:tplc="779AE12C" w:tentative="1">
      <w:start w:val="1"/>
      <w:numFmt w:val="bullet"/>
      <w:lvlText w:val=""/>
      <w:lvlJc w:val="left"/>
      <w:pPr>
        <w:ind w:left="4050" w:hanging="360"/>
      </w:pPr>
      <w:rPr>
        <w:rFonts w:ascii="Wingdings" w:hAnsi="Wingdings" w:hint="default"/>
      </w:rPr>
    </w:lvl>
    <w:lvl w:ilvl="6" w:tplc="CF4AC464" w:tentative="1">
      <w:start w:val="1"/>
      <w:numFmt w:val="bullet"/>
      <w:lvlText w:val=""/>
      <w:lvlJc w:val="left"/>
      <w:pPr>
        <w:ind w:left="4770" w:hanging="360"/>
      </w:pPr>
      <w:rPr>
        <w:rFonts w:ascii="Symbol" w:hAnsi="Symbol" w:hint="default"/>
      </w:rPr>
    </w:lvl>
    <w:lvl w:ilvl="7" w:tplc="DA40812E" w:tentative="1">
      <w:start w:val="1"/>
      <w:numFmt w:val="bullet"/>
      <w:lvlText w:val="o"/>
      <w:lvlJc w:val="left"/>
      <w:pPr>
        <w:ind w:left="5490" w:hanging="360"/>
      </w:pPr>
      <w:rPr>
        <w:rFonts w:ascii="Courier New" w:hAnsi="Courier New" w:hint="default"/>
      </w:rPr>
    </w:lvl>
    <w:lvl w:ilvl="8" w:tplc="3FAC11F2"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FF3078"/>
    <w:rsid w:val="004B0507"/>
    <w:rsid w:val="0062479B"/>
    <w:rsid w:val="008002F1"/>
    <w:rsid w:val="00A010DF"/>
    <w:rsid w:val="00D35316"/>
    <w:rsid w:val="00FF307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B226907F-44A3-4982-BEFE-0DF6AF47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customStyle="1" w:styleId="Default">
    <w:name w:val="Default"/>
    <w:rsid w:val="00CF3850"/>
    <w:pPr>
      <w:autoSpaceDE w:val="0"/>
      <w:autoSpaceDN w:val="0"/>
      <w:adjustRightInd w:val="0"/>
    </w:pPr>
    <w:rPr>
      <w:rFonts w:ascii="Arial" w:eastAsiaTheme="minorHAnsi" w:hAnsi="Arial" w:cs="Arial"/>
      <w:color w:val="000000"/>
    </w:rPr>
  </w:style>
  <w:style w:type="paragraph" w:styleId="Ballontekst">
    <w:name w:val="Balloon Text"/>
    <w:basedOn w:val="Standaard"/>
    <w:link w:val="BallontekstChar"/>
    <w:uiPriority w:val="99"/>
    <w:semiHidden/>
    <w:unhideWhenUsed/>
    <w:rsid w:val="00FC4D9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4D94"/>
    <w:rPr>
      <w:rFonts w:ascii="Segoe UI" w:hAnsi="Segoe UI" w:cs="Segoe UI"/>
      <w:sz w:val="18"/>
      <w:szCs w:val="18"/>
    </w:rPr>
  </w:style>
  <w:style w:type="character" w:styleId="Verwijzingopmerking">
    <w:name w:val="annotation reference"/>
    <w:basedOn w:val="Standaardalinea-lettertype"/>
    <w:uiPriority w:val="99"/>
    <w:semiHidden/>
    <w:unhideWhenUsed/>
    <w:rsid w:val="000A5E41"/>
    <w:rPr>
      <w:sz w:val="16"/>
      <w:szCs w:val="16"/>
    </w:rPr>
  </w:style>
  <w:style w:type="paragraph" w:styleId="Tekstopmerking">
    <w:name w:val="annotation text"/>
    <w:basedOn w:val="Standaard"/>
    <w:link w:val="TekstopmerkingChar"/>
    <w:uiPriority w:val="99"/>
    <w:semiHidden/>
    <w:unhideWhenUsed/>
    <w:rsid w:val="000A5E41"/>
    <w:rPr>
      <w:sz w:val="20"/>
      <w:szCs w:val="20"/>
    </w:rPr>
  </w:style>
  <w:style w:type="character" w:customStyle="1" w:styleId="TekstopmerkingChar">
    <w:name w:val="Tekst opmerking Char"/>
    <w:basedOn w:val="Standaardalinea-lettertype"/>
    <w:link w:val="Tekstopmerking"/>
    <w:uiPriority w:val="99"/>
    <w:semiHidden/>
    <w:rsid w:val="000A5E41"/>
    <w:rPr>
      <w:sz w:val="20"/>
      <w:szCs w:val="20"/>
    </w:rPr>
  </w:style>
  <w:style w:type="paragraph" w:styleId="Onderwerpvanopmerking">
    <w:name w:val="annotation subject"/>
    <w:basedOn w:val="Tekstopmerking"/>
    <w:next w:val="Tekstopmerking"/>
    <w:link w:val="OnderwerpvanopmerkingChar"/>
    <w:uiPriority w:val="99"/>
    <w:semiHidden/>
    <w:unhideWhenUsed/>
    <w:rsid w:val="000A5E41"/>
    <w:rPr>
      <w:b/>
      <w:bCs/>
    </w:rPr>
  </w:style>
  <w:style w:type="character" w:customStyle="1" w:styleId="OnderwerpvanopmerkingChar">
    <w:name w:val="Onderwerp van opmerking Char"/>
    <w:basedOn w:val="TekstopmerkingChar"/>
    <w:link w:val="Onderwerpvanopmerking"/>
    <w:uiPriority w:val="99"/>
    <w:semiHidden/>
    <w:rsid w:val="000A5E41"/>
    <w:rPr>
      <w:b/>
      <w:bCs/>
      <w:sz w:val="20"/>
      <w:szCs w:val="20"/>
    </w:rPr>
  </w:style>
  <w:style w:type="paragraph" w:styleId="Geenafstand">
    <w:name w:val="No Spacing"/>
    <w:uiPriority w:val="1"/>
    <w:qFormat/>
    <w:rsid w:val="0062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7090F4-1D76-423C-A9C0-1624806A1812}">
  <ds:schemaRefs>
    <ds:schemaRef ds:uri="http://schemas.openxmlformats.org/officeDocument/2006/bibliography"/>
  </ds:schemaRefs>
</ds:datastoreItem>
</file>

<file path=customXml/itemProps2.xml><?xml version="1.0" encoding="utf-8"?>
<ds:datastoreItem xmlns:ds="http://schemas.openxmlformats.org/officeDocument/2006/customXml" ds:itemID="{54663253-3A6A-4B23-8BA9-727F83250E6C}"/>
</file>

<file path=customXml/itemProps3.xml><?xml version="1.0" encoding="utf-8"?>
<ds:datastoreItem xmlns:ds="http://schemas.openxmlformats.org/officeDocument/2006/customXml" ds:itemID="{05FD46C3-8F67-40BB-853E-E37EB934E5D5}"/>
</file>

<file path=customXml/itemProps4.xml><?xml version="1.0" encoding="utf-8"?>
<ds:datastoreItem xmlns:ds="http://schemas.openxmlformats.org/officeDocument/2006/customXml" ds:itemID="{95CC9A06-BEBD-4833-97F4-DD99198390D0}"/>
</file>

<file path=docProps/app.xml><?xml version="1.0" encoding="utf-8"?>
<Properties xmlns="http://schemas.openxmlformats.org/officeDocument/2006/extended-properties" xmlns:vt="http://schemas.openxmlformats.org/officeDocument/2006/docPropsVTypes">
  <Template>44B3BC9A</Template>
  <TotalTime>10</TotalTime>
  <Pages>5</Pages>
  <Words>1065</Words>
  <Characters>5861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dcterms:created xsi:type="dcterms:W3CDTF">2016-11-18T18:46:00Z</dcterms:created>
  <dcterms:modified xsi:type="dcterms:W3CDTF">2017-08-21T12:38:00Z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